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罪犯马里且，男，</w:t>
      </w:r>
      <w:r>
        <w:rPr>
          <w:rFonts w:ascii="仿宋_GB2312" w:hAnsi="仿宋" w:eastAsia="仿宋_GB2312"/>
          <w:sz w:val="32"/>
        </w:rPr>
        <w:t>1989年1月5日</w:t>
      </w:r>
      <w:r>
        <w:rPr>
          <w:rFonts w:hint="eastAsia" w:ascii="仿宋_GB2312" w:hAnsi="仿宋" w:eastAsia="仿宋_GB2312"/>
          <w:sz w:val="32"/>
        </w:rPr>
        <w:t>出生，小学文化，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罪犯马里且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根据《中华人民共和国监狱法》第二十九条、《中华人民共和国刑法》第七十八条、《中华人民共和国刑事诉讼法》第二百七十三条第二款的规定，建议对罪犯马里且减刑九个月。特报请裁定。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76F9E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