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罪犯赵津，男，</w:t>
      </w:r>
      <w:r>
        <w:rPr>
          <w:rFonts w:ascii="仿宋_GB2312" w:hAnsi="仿宋" w:eastAsia="仿宋_GB2312"/>
          <w:sz w:val="32"/>
        </w:rPr>
        <w:t>1988年1月27日</w:t>
      </w:r>
      <w:r>
        <w:rPr>
          <w:rFonts w:hint="eastAsia" w:ascii="仿宋_GB2312" w:hAnsi="仿宋" w:eastAsia="仿宋_GB2312"/>
          <w:sz w:val="32"/>
        </w:rPr>
        <w:t>出生,大学文化，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罪犯赵津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根据《中华人民共和国监狱法》第二十九条、《中华人民共和国刑法》第七十八条、《中华人民共和国刑事诉讼法》第二百七十三条第二款的规定，建议对罪犯赵津减刑九个月。特报请裁定。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EF8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2025-11-28T15:35:07Z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