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罪犯赖刚，男，</w:t>
      </w:r>
      <w:r>
        <w:rPr>
          <w:rFonts w:ascii="仿宋_GB2312" w:hAnsi="仿宋" w:eastAsia="仿宋_GB2312"/>
          <w:sz w:val="32"/>
        </w:rPr>
        <w:t>1983年2月1日</w:t>
      </w:r>
      <w:r>
        <w:rPr>
          <w:rFonts w:hint="eastAsia" w:ascii="仿宋_GB2312" w:hAnsi="仿宋" w:eastAsia="仿宋_GB2312"/>
          <w:sz w:val="32"/>
        </w:rPr>
        <w:t>出生,小学文化，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罪犯赖刚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根据《中华人民共和国监狱法》第二十九条、《中华人民共和国刑法》第七十八条、《中华人民共和国刑事诉讼法》第二百七十三条第二款的规定，建议对罪犯赖刚减刑八个月。特报请裁定。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3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2025-11-28T15:35:10Z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