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罪犯蒋佩文，男，</w:t>
      </w:r>
      <w:r>
        <w:rPr>
          <w:rFonts w:ascii="仿宋_GB2312" w:hAnsi="仿宋" w:eastAsia="仿宋_GB2312"/>
          <w:sz w:val="32"/>
        </w:rPr>
        <w:t>1988年6月2日</w:t>
      </w:r>
      <w:r>
        <w:rPr>
          <w:rFonts w:hint="eastAsia" w:ascii="仿宋_GB2312" w:hAnsi="仿宋" w:eastAsia="仿宋_GB2312"/>
          <w:sz w:val="32"/>
        </w:rPr>
        <w:t>出生,中专文化，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罪犯蒋佩文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根据《中华人民共和国监狱法》第二十九条、《中华人民共和国刑法》第七十八条、《中华人民共和国刑事诉讼法》第二百七十三条第二款的规定，建议对罪犯蒋佩文减刑九个月。特报请裁定。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FE26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2025-11-28T15:35:05Z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