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罪犯王定生，男，</w:t>
      </w:r>
      <w:r>
        <w:rPr>
          <w:rFonts w:ascii="仿宋_GB2312" w:hAnsi="仿宋" w:eastAsia="仿宋_GB2312"/>
          <w:sz w:val="32"/>
        </w:rPr>
        <w:t>1964年5月4日</w:t>
      </w:r>
      <w:r>
        <w:rPr>
          <w:rFonts w:hint="eastAsia" w:ascii="仿宋_GB2312" w:hAnsi="仿宋" w:eastAsia="仿宋_GB2312"/>
          <w:sz w:val="32"/>
        </w:rPr>
        <w:t>出生，初中文化，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罪犯王定生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根据《中华人民共和国监狱法》第二十九条、《中华人民共和国刑法》第七十八条、《中华人民共和国刑事诉讼法》第二百七十三条第二款的规定，建议对罪犯王定生减刑七个月。特报请裁定。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6FFE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2025-12-01T15:47:29Z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