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罪犯沙马五沙，男，</w:t>
      </w:r>
      <w:r>
        <w:rPr>
          <w:rFonts w:ascii="仿宋_GB2312" w:hAnsi="仿宋" w:eastAsia="仿宋_GB2312"/>
          <w:sz w:val="32"/>
        </w:rPr>
        <w:t>1965年8月23日</w:t>
      </w:r>
      <w:r>
        <w:rPr>
          <w:rFonts w:hint="eastAsia" w:ascii="仿宋_GB2312" w:hAnsi="仿宋" w:eastAsia="仿宋_GB2312"/>
          <w:sz w:val="32"/>
        </w:rPr>
        <w:t>出生，初中文化，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罪犯沙马五沙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根据《中华人民共和国监狱法》第二十九条、《中华人民共和国刑法》第七十八条、《中华人民共和国刑事诉讼法》第二百七十三条第二款的规定，建议对罪犯沙马五沙减刑七个月。特报请裁定。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A3FAD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2025-12-01T15:47:30Z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