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罪犯历史石也，男，</w:t>
      </w:r>
      <w:r>
        <w:rPr>
          <w:rFonts w:ascii="仿宋_GB2312" w:hAnsi="仿宋" w:eastAsia="仿宋_GB2312"/>
          <w:sz w:val="32"/>
        </w:rPr>
        <w:t>1984年10月10日</w:t>
      </w:r>
      <w:r>
        <w:rPr>
          <w:rFonts w:hint="eastAsia" w:ascii="仿宋_GB2312" w:hAnsi="仿宋" w:eastAsia="仿宋_GB2312"/>
          <w:sz w:val="32"/>
        </w:rPr>
        <w:t>出生,文盲，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罪犯历史石也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根据《中华人民共和国监狱法》第二十九条、《中华人民共和国刑法》第七十八条、《中华人民共和国刑事诉讼法》第二百七十三条第二款的规定，建议对罪犯历史石也减刑</w:t>
      </w:r>
      <w:r>
        <w:rPr>
          <w:rFonts w:hint="eastAsia" w:hAnsi="仿宋"/>
          <w:lang w:eastAsia="zh-CN"/>
        </w:rPr>
        <w:t>七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8DE19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2025-11-28T15:35:03Z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