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罪犯王传琦，男，1986年8月18日出生，中专文化，现在四川省邛崃监狱服刑。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罪犯王传琦在服刑期间，认真遵守监规，接受教育改造，确有悔改表现。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根据《中华人民共和国监狱法》第二十九条、《中华人民共和国刑法》第七十八条、《中华人民共和国刑事诉讼法》第二百七十三条的规定，建议对罪犯王传琦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ABC196B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ABC196B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2025-12-30T06:48:34Z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BA5C322642CB4872B938F95F3A5F631E</vt:lpwstr>
  </property>
</Properties>
</file>