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8E78F">
      <w:pPr>
        <w:jc w:val="center"/>
        <w:rPr>
          <w:rFonts w:ascii="仿宋_GB2312" w:eastAsia="仿宋_GB2312"/>
        </w:rPr>
      </w:pPr>
    </w:p>
    <w:p w14:paraId="1DA4AEB7">
      <w:pPr>
        <w:jc w:val="center"/>
        <w:rPr>
          <w:rFonts w:ascii="仿宋_GB2312" w:eastAsia="仿宋_GB2312"/>
        </w:rPr>
      </w:pPr>
    </w:p>
    <w:p w14:paraId="1A952128">
      <w:pPr>
        <w:jc w:val="center"/>
        <w:rPr>
          <w:rFonts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竞争性谈判文件</w:t>
      </w:r>
    </w:p>
    <w:p w14:paraId="10414394">
      <w:pPr>
        <w:jc w:val="center"/>
        <w:rPr>
          <w:rFonts w:asciiTheme="majorEastAsia" w:hAnsiTheme="majorEastAsia" w:eastAsiaTheme="majorEastAsia" w:cstheme="majorEastAsia"/>
          <w:sz w:val="72"/>
          <w:szCs w:val="72"/>
        </w:rPr>
      </w:pPr>
    </w:p>
    <w:p w14:paraId="6F7C22CC">
      <w:pPr>
        <w:jc w:val="center"/>
        <w:rPr>
          <w:rFonts w:asciiTheme="majorEastAsia" w:hAnsiTheme="majorEastAsia" w:eastAsiaTheme="majorEastAsia" w:cstheme="majorEastAsia"/>
        </w:rPr>
      </w:pPr>
    </w:p>
    <w:p w14:paraId="13DB4DB4">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sz w:val="36"/>
          <w:szCs w:val="36"/>
        </w:rPr>
        <w:t xml:space="preserve"> 项目名称：四川省</w:t>
      </w:r>
      <w:r>
        <w:rPr>
          <w:rFonts w:hint="eastAsia" w:asciiTheme="majorEastAsia" w:hAnsiTheme="majorEastAsia" w:eastAsiaTheme="majorEastAsia" w:cstheme="majorEastAsia"/>
          <w:b/>
          <w:sz w:val="36"/>
          <w:szCs w:val="36"/>
          <w:lang w:eastAsia="zh-CN"/>
        </w:rPr>
        <w:t>南宝山服饰有限公司劳动能力等级鉴定和伤残程度评定（第二次）</w:t>
      </w:r>
      <w:r>
        <w:rPr>
          <w:rFonts w:hint="eastAsia" w:asciiTheme="majorEastAsia" w:hAnsiTheme="majorEastAsia" w:eastAsiaTheme="majorEastAsia" w:cstheme="majorEastAsia"/>
          <w:b/>
          <w:bCs/>
          <w:sz w:val="36"/>
          <w:szCs w:val="36"/>
        </w:rPr>
        <w:t>采购项目</w:t>
      </w:r>
    </w:p>
    <w:p w14:paraId="13BEE813">
      <w:pPr>
        <w:jc w:val="center"/>
        <w:rPr>
          <w:rFonts w:asciiTheme="majorEastAsia" w:hAnsiTheme="majorEastAsia" w:eastAsiaTheme="majorEastAsia" w:cstheme="majorEastAsia"/>
          <w:sz w:val="36"/>
          <w:szCs w:val="36"/>
        </w:rPr>
      </w:pPr>
    </w:p>
    <w:p w14:paraId="70CC29A9">
      <w:pPr>
        <w:jc w:val="center"/>
        <w:rPr>
          <w:rFonts w:asciiTheme="majorEastAsia" w:hAnsiTheme="majorEastAsia" w:eastAsiaTheme="majorEastAsia" w:cstheme="majorEastAsia"/>
        </w:rPr>
      </w:pPr>
    </w:p>
    <w:p w14:paraId="2B8DE80F">
      <w:pPr>
        <w:jc w:val="center"/>
        <w:rPr>
          <w:rFonts w:hint="default"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rPr>
        <w:t>编号：202</w:t>
      </w:r>
      <w:r>
        <w:rPr>
          <w:rFonts w:hint="eastAsia" w:asciiTheme="majorEastAsia" w:hAnsiTheme="majorEastAsia" w:eastAsiaTheme="majorEastAsia" w:cstheme="majorEastAsia"/>
          <w:b/>
          <w:sz w:val="32"/>
          <w:szCs w:val="32"/>
          <w:lang w:val="en-US" w:eastAsia="zh-CN"/>
        </w:rPr>
        <w:t>5</w:t>
      </w:r>
      <w:r>
        <w:rPr>
          <w:rFonts w:hint="eastAsia" w:asciiTheme="majorEastAsia" w:hAnsiTheme="majorEastAsia" w:eastAsiaTheme="majorEastAsia" w:cstheme="majorEastAsia"/>
          <w:b/>
          <w:sz w:val="32"/>
          <w:szCs w:val="32"/>
        </w:rPr>
        <w:t xml:space="preserve">- </w:t>
      </w:r>
      <w:r>
        <w:rPr>
          <w:rFonts w:hint="eastAsia" w:asciiTheme="majorEastAsia" w:hAnsiTheme="majorEastAsia" w:eastAsiaTheme="majorEastAsia" w:cstheme="majorEastAsia"/>
          <w:b/>
          <w:sz w:val="32"/>
          <w:szCs w:val="32"/>
          <w:lang w:val="en-US" w:eastAsia="zh-CN"/>
        </w:rPr>
        <w:t>Q074</w:t>
      </w:r>
    </w:p>
    <w:p w14:paraId="4F4C1EB7">
      <w:pPr>
        <w:jc w:val="center"/>
        <w:rPr>
          <w:rFonts w:asciiTheme="majorEastAsia" w:hAnsiTheme="majorEastAsia" w:eastAsiaTheme="majorEastAsia" w:cstheme="majorEastAsia"/>
          <w:b/>
          <w:sz w:val="32"/>
          <w:szCs w:val="32"/>
        </w:rPr>
      </w:pPr>
    </w:p>
    <w:p w14:paraId="6A380315">
      <w:pPr>
        <w:jc w:val="center"/>
        <w:rPr>
          <w:rFonts w:asciiTheme="majorEastAsia" w:hAnsiTheme="majorEastAsia" w:eastAsiaTheme="majorEastAsia" w:cstheme="majorEastAsia"/>
          <w:b/>
          <w:sz w:val="32"/>
          <w:szCs w:val="32"/>
        </w:rPr>
      </w:pPr>
    </w:p>
    <w:p w14:paraId="035DEC0D">
      <w:pPr>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四川省</w:t>
      </w:r>
      <w:r>
        <w:rPr>
          <w:rFonts w:hint="eastAsia" w:asciiTheme="majorEastAsia" w:hAnsiTheme="majorEastAsia" w:eastAsiaTheme="majorEastAsia" w:cstheme="majorEastAsia"/>
          <w:b/>
          <w:sz w:val="44"/>
          <w:szCs w:val="44"/>
          <w:lang w:eastAsia="zh-CN"/>
        </w:rPr>
        <w:t>南宝山服饰有限公司</w:t>
      </w:r>
    </w:p>
    <w:p w14:paraId="13225DAE">
      <w:pPr>
        <w:ind w:firstLine="3054" w:firstLineChars="845"/>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w:t>
      </w:r>
      <w:r>
        <w:rPr>
          <w:rFonts w:hint="eastAsia" w:asciiTheme="majorEastAsia" w:hAnsiTheme="majorEastAsia" w:eastAsiaTheme="majorEastAsia" w:cstheme="majorEastAsia"/>
          <w:b/>
          <w:sz w:val="36"/>
          <w:szCs w:val="36"/>
          <w:lang w:val="en-US" w:eastAsia="zh-CN"/>
        </w:rPr>
        <w:t>5</w:t>
      </w:r>
      <w:r>
        <w:rPr>
          <w:rFonts w:hint="eastAsia" w:asciiTheme="majorEastAsia" w:hAnsiTheme="majorEastAsia" w:eastAsiaTheme="majorEastAsia" w:cstheme="majorEastAsia"/>
          <w:b/>
          <w:sz w:val="36"/>
          <w:szCs w:val="36"/>
        </w:rPr>
        <w:t>年</w:t>
      </w:r>
      <w:r>
        <w:rPr>
          <w:rFonts w:hint="eastAsia" w:asciiTheme="majorEastAsia" w:hAnsiTheme="majorEastAsia" w:eastAsiaTheme="majorEastAsia" w:cstheme="majorEastAsia"/>
          <w:b/>
          <w:sz w:val="36"/>
          <w:szCs w:val="36"/>
          <w:lang w:val="en-US" w:eastAsia="zh-CN"/>
        </w:rPr>
        <w:t>8</w:t>
      </w:r>
      <w:r>
        <w:rPr>
          <w:rFonts w:hint="eastAsia" w:asciiTheme="majorEastAsia" w:hAnsiTheme="majorEastAsia" w:eastAsiaTheme="majorEastAsia" w:cstheme="majorEastAsia"/>
          <w:b/>
          <w:sz w:val="36"/>
          <w:szCs w:val="36"/>
        </w:rPr>
        <w:t>月</w:t>
      </w:r>
    </w:p>
    <w:p w14:paraId="5CEBDFFC">
      <w:pPr>
        <w:rPr>
          <w:rFonts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br w:type="page"/>
      </w:r>
    </w:p>
    <w:p w14:paraId="0BAA8331">
      <w:pPr>
        <w:rPr>
          <w:rFonts w:asciiTheme="majorEastAsia" w:hAnsiTheme="majorEastAsia" w:eastAsiaTheme="majorEastAsia" w:cstheme="majorEastAsia"/>
          <w:b/>
          <w:color w:val="000000"/>
        </w:rPr>
      </w:pPr>
    </w:p>
    <w:p w14:paraId="2205637B">
      <w:pPr>
        <w:spacing w:line="800" w:lineRule="exact"/>
        <w:jc w:val="center"/>
        <w:rPr>
          <w:rFonts w:asciiTheme="majorEastAsia" w:hAnsiTheme="majorEastAsia" w:eastAsiaTheme="majorEastAsia" w:cstheme="majorEastAsia"/>
          <w:snapToGrid w:val="0"/>
          <w:sz w:val="36"/>
        </w:rPr>
      </w:pPr>
      <w:bookmarkStart w:id="0" w:name="_Toc227144287"/>
    </w:p>
    <w:bookmarkEnd w:id="0"/>
    <w:p w14:paraId="71F5FF31">
      <w:pPr>
        <w:spacing w:line="800" w:lineRule="exact"/>
        <w:jc w:val="cente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目   录</w:t>
      </w:r>
    </w:p>
    <w:p w14:paraId="5272F184">
      <w:pPr>
        <w:spacing w:line="800" w:lineRule="exact"/>
        <w:rPr>
          <w:rFonts w:asciiTheme="majorEastAsia" w:hAnsiTheme="majorEastAsia" w:eastAsiaTheme="majorEastAsia" w:cstheme="majorEastAsia"/>
          <w:snapToGrid w:val="0"/>
          <w:sz w:val="36"/>
        </w:rPr>
      </w:pPr>
    </w:p>
    <w:p w14:paraId="4CE76DED">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第一部分   谈判邀请（公告）</w:t>
      </w:r>
    </w:p>
    <w:p w14:paraId="2DBACEA4">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第二部分   谈判须知</w:t>
      </w:r>
    </w:p>
    <w:p w14:paraId="3CC89388">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第三部分   报价文件格式</w:t>
      </w:r>
    </w:p>
    <w:p w14:paraId="365A15CA">
      <w:pPr>
        <w:snapToGrid w:val="0"/>
        <w:spacing w:line="760" w:lineRule="exact"/>
        <w:rPr>
          <w:rFonts w:asciiTheme="majorEastAsia" w:hAnsiTheme="majorEastAsia" w:eastAsiaTheme="majorEastAsia" w:cstheme="majorEastAsia"/>
          <w:snapToGrid w:val="0"/>
          <w:sz w:val="32"/>
          <w:szCs w:val="32"/>
        </w:rPr>
      </w:pPr>
    </w:p>
    <w:p w14:paraId="750C5977">
      <w:pPr>
        <w:snapToGrid w:val="0"/>
        <w:spacing w:line="760" w:lineRule="exact"/>
        <w:rPr>
          <w:rFonts w:asciiTheme="majorEastAsia" w:hAnsiTheme="majorEastAsia" w:eastAsiaTheme="majorEastAsia" w:cstheme="majorEastAsia"/>
          <w:snapToGrid w:val="0"/>
        </w:rPr>
      </w:pPr>
    </w:p>
    <w:p w14:paraId="79626927">
      <w:pPr>
        <w:snapToGrid w:val="0"/>
        <w:spacing w:line="760" w:lineRule="exact"/>
        <w:rPr>
          <w:rFonts w:asciiTheme="majorEastAsia" w:hAnsiTheme="majorEastAsia" w:eastAsiaTheme="majorEastAsia" w:cstheme="majorEastAsia"/>
          <w:snapToGrid w:val="0"/>
        </w:rPr>
      </w:pPr>
    </w:p>
    <w:p w14:paraId="5C3299AC">
      <w:pPr>
        <w:snapToGrid w:val="0"/>
        <w:spacing w:line="760" w:lineRule="exact"/>
        <w:rPr>
          <w:rFonts w:asciiTheme="majorEastAsia" w:hAnsiTheme="majorEastAsia" w:eastAsiaTheme="majorEastAsia" w:cstheme="majorEastAsia"/>
          <w:snapToGrid w:val="0"/>
        </w:rPr>
      </w:pPr>
    </w:p>
    <w:p w14:paraId="699692D8">
      <w:pPr>
        <w:snapToGrid w:val="0"/>
        <w:spacing w:line="760" w:lineRule="exact"/>
        <w:rPr>
          <w:rFonts w:asciiTheme="majorEastAsia" w:hAnsiTheme="majorEastAsia" w:eastAsiaTheme="majorEastAsia" w:cstheme="majorEastAsia"/>
          <w:snapToGrid w:val="0"/>
        </w:rPr>
      </w:pPr>
    </w:p>
    <w:p w14:paraId="0C88BAD5">
      <w:pPr>
        <w:snapToGrid w:val="0"/>
        <w:spacing w:line="760" w:lineRule="exact"/>
        <w:rPr>
          <w:rFonts w:asciiTheme="majorEastAsia" w:hAnsiTheme="majorEastAsia" w:eastAsiaTheme="majorEastAsia" w:cstheme="majorEastAsia"/>
          <w:snapToGrid w:val="0"/>
        </w:rPr>
      </w:pPr>
    </w:p>
    <w:p w14:paraId="64111300">
      <w:pPr>
        <w:snapToGrid w:val="0"/>
        <w:spacing w:line="760" w:lineRule="exact"/>
        <w:rPr>
          <w:rFonts w:asciiTheme="majorEastAsia" w:hAnsiTheme="majorEastAsia" w:eastAsiaTheme="majorEastAsia" w:cstheme="majorEastAsia"/>
          <w:snapToGrid w:val="0"/>
        </w:rPr>
      </w:pPr>
    </w:p>
    <w:p w14:paraId="247E1F01">
      <w:pPr>
        <w:snapToGrid w:val="0"/>
        <w:spacing w:line="760" w:lineRule="exact"/>
        <w:rPr>
          <w:rFonts w:asciiTheme="majorEastAsia" w:hAnsiTheme="majorEastAsia" w:eastAsiaTheme="majorEastAsia" w:cstheme="majorEastAsia"/>
          <w:snapToGrid w:val="0"/>
        </w:rPr>
      </w:pPr>
    </w:p>
    <w:p w14:paraId="19628776">
      <w:pPr>
        <w:snapToGrid w:val="0"/>
        <w:spacing w:line="760" w:lineRule="exact"/>
        <w:rPr>
          <w:rFonts w:asciiTheme="majorEastAsia" w:hAnsiTheme="majorEastAsia" w:eastAsiaTheme="majorEastAsia" w:cstheme="majorEastAsia"/>
          <w:snapToGrid w:val="0"/>
        </w:rPr>
      </w:pPr>
    </w:p>
    <w:p w14:paraId="235AA40E">
      <w:pPr>
        <w:snapToGrid w:val="0"/>
        <w:rPr>
          <w:rFonts w:asciiTheme="majorEastAsia" w:hAnsiTheme="majorEastAsia" w:eastAsiaTheme="majorEastAsia" w:cstheme="majorEastAsia"/>
          <w:snapToGrid w:val="0"/>
          <w:sz w:val="36"/>
        </w:rPr>
      </w:pPr>
    </w:p>
    <w:p w14:paraId="06A0FF65">
      <w:pPr>
        <w:snapToGrid w:val="0"/>
        <w:rPr>
          <w:rFonts w:asciiTheme="majorEastAsia" w:hAnsiTheme="majorEastAsia" w:eastAsiaTheme="majorEastAsia" w:cstheme="majorEastAsia"/>
          <w:snapToGrid w:val="0"/>
          <w:sz w:val="36"/>
        </w:rPr>
      </w:pPr>
    </w:p>
    <w:p w14:paraId="4770A2A7">
      <w:pPr>
        <w:spacing w:line="360" w:lineRule="auto"/>
        <w:ind w:firstLine="1988" w:firstLineChars="450"/>
        <w:rPr>
          <w:rFonts w:asciiTheme="majorEastAsia" w:hAnsiTheme="majorEastAsia" w:eastAsiaTheme="majorEastAsia" w:cstheme="majorEastAsia"/>
          <w:b/>
          <w:snapToGrid w:val="0"/>
          <w:sz w:val="44"/>
          <w:szCs w:val="44"/>
        </w:rPr>
      </w:pPr>
    </w:p>
    <w:p w14:paraId="4BF70622">
      <w:pPr>
        <w:spacing w:line="360" w:lineRule="auto"/>
        <w:ind w:firstLine="1988" w:firstLineChars="450"/>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第一部分  谈判邀请（公告）</w:t>
      </w:r>
    </w:p>
    <w:p w14:paraId="6BD0BDBC">
      <w:pPr>
        <w:ind w:right="720" w:firstLine="980" w:firstLineChars="350"/>
        <w:rPr>
          <w:rFonts w:asciiTheme="majorEastAsia" w:hAnsiTheme="majorEastAsia" w:eastAsiaTheme="majorEastAsia" w:cstheme="majorEastAsia"/>
          <w:snapToGrid w:val="0"/>
        </w:rPr>
      </w:pPr>
    </w:p>
    <w:p w14:paraId="2408602D">
      <w:pPr>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根据四川省</w:t>
      </w:r>
      <w:r>
        <w:rPr>
          <w:rFonts w:hint="eastAsia" w:asciiTheme="majorEastAsia" w:hAnsiTheme="majorEastAsia" w:eastAsiaTheme="majorEastAsia" w:cstheme="majorEastAsia"/>
          <w:lang w:eastAsia="zh-CN"/>
        </w:rPr>
        <w:t>南宝山服饰有限公司</w:t>
      </w:r>
      <w:r>
        <w:rPr>
          <w:rFonts w:hint="eastAsia" w:asciiTheme="majorEastAsia" w:hAnsiTheme="majorEastAsia" w:eastAsiaTheme="majorEastAsia" w:cstheme="majorEastAsia"/>
        </w:rPr>
        <w:t>总体工作安排，拟开</w:t>
      </w:r>
      <w:r>
        <w:rPr>
          <w:rFonts w:hint="eastAsia" w:asciiTheme="majorEastAsia" w:hAnsiTheme="majorEastAsia" w:eastAsiaTheme="majorEastAsia" w:cstheme="majorEastAsia"/>
          <w:lang w:val="en-US" w:eastAsia="zh-CN"/>
        </w:rPr>
        <w:t>展劳动能力等级鉴定和伤残程度评定（第二次）</w:t>
      </w:r>
      <w:r>
        <w:rPr>
          <w:rFonts w:hint="eastAsia" w:asciiTheme="majorEastAsia" w:hAnsiTheme="majorEastAsia" w:eastAsiaTheme="majorEastAsia" w:cstheme="majorEastAsia"/>
        </w:rPr>
        <w:t>采购。现通过竞争性谈判的形式，邀请有资质的供应商参与谈判。</w:t>
      </w:r>
    </w:p>
    <w:p w14:paraId="79CB71CD">
      <w:pPr>
        <w:adjustRightInd w:val="0"/>
        <w:ind w:right="720" w:firstLine="560" w:firstLineChars="200"/>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一、项目名称：四川省</w:t>
      </w:r>
      <w:r>
        <w:rPr>
          <w:rFonts w:hint="eastAsia" w:asciiTheme="majorEastAsia" w:hAnsiTheme="majorEastAsia" w:eastAsiaTheme="majorEastAsia" w:cstheme="majorEastAsia"/>
          <w:lang w:eastAsia="zh-CN"/>
        </w:rPr>
        <w:t>南宝山服饰有限公司劳动能力等级鉴定和伤残程度评定（第二次）</w:t>
      </w:r>
      <w:r>
        <w:rPr>
          <w:rFonts w:hint="eastAsia" w:asciiTheme="majorEastAsia" w:hAnsiTheme="majorEastAsia" w:eastAsiaTheme="majorEastAsia" w:cstheme="majorEastAsia"/>
        </w:rPr>
        <w:t>采购项目</w:t>
      </w:r>
    </w:p>
    <w:p w14:paraId="42170FB9">
      <w:pPr>
        <w:adjustRightInd w:val="0"/>
        <w:ind w:right="720" w:firstLine="560" w:firstLineChars="200"/>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二、方式：竞争性谈判</w:t>
      </w:r>
    </w:p>
    <w:p w14:paraId="49534DAE">
      <w:pPr>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三、评选方式：按预算金额，资质符合，价格最低者中选。谈判被邀请人数量：至少邀请3家符合资质的供应商。</w:t>
      </w:r>
    </w:p>
    <w:p w14:paraId="1DCABBE1">
      <w:pPr>
        <w:ind w:right="720" w:firstLine="700" w:firstLineChars="250"/>
        <w:rPr>
          <w:rFonts w:asciiTheme="majorEastAsia" w:hAnsiTheme="majorEastAsia" w:eastAsiaTheme="majorEastAsia" w:cstheme="majorEastAsia"/>
        </w:rPr>
      </w:pPr>
      <w:r>
        <w:rPr>
          <w:rFonts w:hint="eastAsia" w:asciiTheme="majorEastAsia" w:hAnsiTheme="majorEastAsia" w:eastAsiaTheme="majorEastAsia" w:cstheme="majorEastAsia"/>
        </w:rPr>
        <w:t>四、预算金额：</w:t>
      </w:r>
      <w:r>
        <w:rPr>
          <w:rFonts w:hint="eastAsia" w:asciiTheme="majorEastAsia" w:hAnsiTheme="majorEastAsia" w:eastAsiaTheme="majorEastAsia" w:cstheme="majorEastAsia"/>
          <w:lang w:val="en-US" w:eastAsia="zh-CN"/>
        </w:rPr>
        <w:t>三年总费用不超过45000.00元，据实结算</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劳动能力等级鉴定最高限价</w:t>
      </w:r>
      <w:r>
        <w:rPr>
          <w:rFonts w:hint="eastAsia" w:asciiTheme="majorEastAsia" w:hAnsiTheme="majorEastAsia" w:eastAsiaTheme="majorEastAsia" w:cstheme="majorEastAsia"/>
          <w:lang w:val="en-US" w:eastAsia="zh-CN"/>
        </w:rPr>
        <w:t>900.00元/例，伤残程度评定最高限价1200.00元，</w:t>
      </w:r>
      <w:r>
        <w:rPr>
          <w:rFonts w:hint="eastAsia" w:asciiTheme="majorEastAsia" w:hAnsiTheme="majorEastAsia" w:eastAsiaTheme="majorEastAsia" w:cstheme="majorEastAsia"/>
        </w:rPr>
        <w:t>投标报价不得高于</w:t>
      </w:r>
      <w:r>
        <w:rPr>
          <w:rFonts w:hint="eastAsia" w:asciiTheme="majorEastAsia" w:hAnsiTheme="majorEastAsia" w:eastAsiaTheme="majorEastAsia" w:cstheme="majorEastAsia"/>
          <w:lang w:eastAsia="zh-CN"/>
        </w:rPr>
        <w:t>最高限价</w:t>
      </w:r>
      <w:r>
        <w:rPr>
          <w:rFonts w:hint="eastAsia" w:asciiTheme="majorEastAsia" w:hAnsiTheme="majorEastAsia" w:eastAsiaTheme="majorEastAsia" w:cstheme="majorEastAsia"/>
        </w:rPr>
        <w:t>，否则为废标。本次项目为二次报价，以第二次报价为最终报价。</w:t>
      </w:r>
    </w:p>
    <w:p w14:paraId="25A88196">
      <w:pPr>
        <w:ind w:firstLine="700" w:firstLineChars="250"/>
        <w:rPr>
          <w:rFonts w:asciiTheme="majorEastAsia" w:hAnsiTheme="majorEastAsia" w:eastAsiaTheme="majorEastAsia" w:cstheme="majorEastAsia"/>
        </w:rPr>
      </w:pPr>
      <w:r>
        <w:rPr>
          <w:rFonts w:hint="eastAsia" w:asciiTheme="majorEastAsia" w:hAnsiTheme="majorEastAsia" w:eastAsiaTheme="majorEastAsia" w:cstheme="majorEastAsia"/>
        </w:rPr>
        <w:t>六、投标资质：</w:t>
      </w:r>
    </w:p>
    <w:p w14:paraId="2AEC37C7">
      <w:pPr>
        <w:ind w:firstLine="56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1、在中华人民共和国境内注册，具有独立承担民事责任能力的企业法人</w:t>
      </w:r>
      <w:r>
        <w:rPr>
          <w:rFonts w:hint="eastAsia" w:asciiTheme="majorEastAsia" w:hAnsiTheme="majorEastAsia" w:eastAsiaTheme="majorEastAsia" w:cstheme="majorEastAsia"/>
          <w:lang w:val="en-US" w:eastAsia="zh-CN"/>
        </w:rPr>
        <w:t>,近三年内无违法违纪记录（承诺函）；</w:t>
      </w:r>
    </w:p>
    <w:p w14:paraId="1EE46AF9">
      <w:pPr>
        <w:pStyle w:val="5"/>
        <w:rPr>
          <w:rFonts w:hint="default"/>
          <w:lang w:val="en-US" w:eastAsia="zh-CN"/>
        </w:rPr>
      </w:pPr>
      <w:r>
        <w:rPr>
          <w:rFonts w:hint="eastAsia" w:asciiTheme="majorEastAsia" w:hAnsiTheme="majorEastAsia" w:eastAsiaTheme="majorEastAsia" w:cstheme="majorEastAsia"/>
          <w:lang w:val="en-US" w:eastAsia="zh-CN"/>
        </w:rPr>
        <w:t xml:space="preserve">    2、具有良好商业信誉和健全的财务会计制度（承诺函）；</w:t>
      </w:r>
    </w:p>
    <w:p w14:paraId="780C40A0">
      <w:pPr>
        <w:pStyle w:val="5"/>
        <w:widowControl/>
        <w:kinsoku w:val="0"/>
        <w:autoSpaceDE w:val="0"/>
        <w:autoSpaceDN w:val="0"/>
        <w:adjustRightInd w:val="0"/>
        <w:snapToGrid w:val="0"/>
        <w:spacing w:line="600" w:lineRule="exact"/>
        <w:ind w:firstLine="560" w:firstLineChars="200"/>
        <w:textAlignment w:val="baseline"/>
        <w:rPr>
          <w:rFonts w:hint="eastAsia" w:asciiTheme="majorEastAsia" w:hAnsiTheme="majorEastAsia" w:eastAsiaTheme="majorEastAsia" w:cstheme="majorEastAsia"/>
          <w:lang w:val="en-US" w:eastAsia="zh-CN"/>
        </w:rPr>
      </w:pPr>
      <w:r>
        <w:rPr>
          <w:rFonts w:hint="eastAsia"/>
          <w:lang w:val="en-US" w:eastAsia="zh-CN"/>
        </w:rPr>
        <w:t>3、具有国家认可具有劳动能力鉴定和伤残程度评定资质和履行合同所必须的设施设备和</w:t>
      </w:r>
      <w:r>
        <w:rPr>
          <w:rFonts w:hint="eastAsia" w:asciiTheme="majorEastAsia" w:hAnsiTheme="majorEastAsia" w:eastAsiaTheme="majorEastAsia" w:cstheme="majorEastAsia"/>
          <w:lang w:val="en-US" w:eastAsia="zh-CN"/>
        </w:rPr>
        <w:t>专业技术能力；</w:t>
      </w:r>
    </w:p>
    <w:p w14:paraId="7C41831D">
      <w:pPr>
        <w:pStyle w:val="6"/>
        <w:ind w:firstLine="560" w:firstLineChars="200"/>
        <w:rPr>
          <w:rFonts w:hint="default"/>
          <w:lang w:val="en-US"/>
        </w:rPr>
      </w:pPr>
      <w:r>
        <w:rPr>
          <w:rFonts w:hint="eastAsia" w:asciiTheme="majorEastAsia" w:hAnsiTheme="majorEastAsia" w:eastAsiaTheme="majorEastAsia" w:cstheme="majorEastAsia"/>
          <w:lang w:val="en-US" w:eastAsia="zh-CN"/>
        </w:rPr>
        <w:t>4、本项目不接受联合体投标；</w:t>
      </w:r>
    </w:p>
    <w:p w14:paraId="3C9C97EA">
      <w:pPr>
        <w:ind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七、投标规定：</w:t>
      </w:r>
    </w:p>
    <w:p w14:paraId="2EF846F2">
      <w:pPr>
        <w:ind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1、谈判地点：邛崃市临邛镇大东街669号生产工作洽谈室。</w:t>
      </w:r>
    </w:p>
    <w:p w14:paraId="37574D80">
      <w:pPr>
        <w:pStyle w:val="9"/>
        <w:ind w:firstLine="560" w:firstLineChars="200"/>
        <w:rPr>
          <w:rFonts w:asciiTheme="majorEastAsia" w:hAnsiTheme="majorEastAsia" w:eastAsiaTheme="majorEastAsia" w:cstheme="majorEastAsia"/>
          <w:bCs/>
        </w:rPr>
      </w:pPr>
      <w:r>
        <w:rPr>
          <w:rFonts w:hint="eastAsia" w:asciiTheme="majorEastAsia" w:hAnsiTheme="majorEastAsia" w:eastAsiaTheme="majorEastAsia" w:cstheme="majorEastAsia"/>
        </w:rPr>
        <w:t>2．授权代表（可由法人代表担任）须准时到会，出示身份证原件并签名以示出席，否则，其投标将被拒绝；</w:t>
      </w:r>
    </w:p>
    <w:p w14:paraId="355547CB">
      <w:pPr>
        <w:pStyle w:val="9"/>
        <w:ind w:firstLine="560" w:firstLineChars="200"/>
        <w:rPr>
          <w:rFonts w:asciiTheme="majorEastAsia" w:hAnsiTheme="majorEastAsia" w:eastAsiaTheme="majorEastAsia" w:cstheme="majorEastAsia"/>
          <w:lang w:val="zh-CN"/>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zh-CN"/>
        </w:rPr>
        <w:t>.谈判谈判响应文件份数：正本壹份。</w:t>
      </w:r>
    </w:p>
    <w:p w14:paraId="5C2A5139">
      <w:pPr>
        <w:pStyle w:val="9"/>
        <w:ind w:firstLine="560" w:firstLineChars="200"/>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八、谈判公告</w:t>
      </w:r>
    </w:p>
    <w:tbl>
      <w:tblPr>
        <w:tblStyle w:val="10"/>
        <w:tblW w:w="87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69"/>
        <w:gridCol w:w="6520"/>
      </w:tblGrid>
      <w:tr w14:paraId="19E52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5ABA711B">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采购项目名称</w:t>
            </w:r>
          </w:p>
        </w:tc>
        <w:tc>
          <w:tcPr>
            <w:tcW w:w="6520" w:type="dxa"/>
            <w:noWrap/>
            <w:tcMar>
              <w:top w:w="36" w:type="dxa"/>
              <w:left w:w="36" w:type="dxa"/>
              <w:bottom w:w="36" w:type="dxa"/>
              <w:right w:w="36" w:type="dxa"/>
            </w:tcMar>
            <w:vAlign w:val="bottom"/>
          </w:tcPr>
          <w:p w14:paraId="2C0D8B1F">
            <w:pPr>
              <w:adjustRightInd w:val="0"/>
              <w:ind w:right="720"/>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四川省</w:t>
            </w:r>
            <w:r>
              <w:rPr>
                <w:rFonts w:hint="eastAsia" w:asciiTheme="majorEastAsia" w:hAnsiTheme="majorEastAsia" w:eastAsiaTheme="majorEastAsia" w:cstheme="majorEastAsia"/>
                <w:lang w:eastAsia="zh-CN"/>
              </w:rPr>
              <w:t>南宝山服饰有限公司劳动能力等级鉴定和伤残程度评定（第二次）</w:t>
            </w:r>
            <w:r>
              <w:rPr>
                <w:rFonts w:hint="eastAsia" w:asciiTheme="majorEastAsia" w:hAnsiTheme="majorEastAsia" w:eastAsiaTheme="majorEastAsia" w:cstheme="majorEastAsia"/>
              </w:rPr>
              <w:t>采购项目</w:t>
            </w:r>
          </w:p>
        </w:tc>
      </w:tr>
      <w:tr w14:paraId="3F908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547B8C99">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采购单位</w:t>
            </w:r>
          </w:p>
        </w:tc>
        <w:tc>
          <w:tcPr>
            <w:tcW w:w="6520" w:type="dxa"/>
            <w:noWrap/>
            <w:tcMar>
              <w:top w:w="36" w:type="dxa"/>
              <w:left w:w="36" w:type="dxa"/>
              <w:bottom w:w="36" w:type="dxa"/>
              <w:right w:w="36" w:type="dxa"/>
            </w:tcMar>
            <w:vAlign w:val="bottom"/>
          </w:tcPr>
          <w:p w14:paraId="78F34B32">
            <w:pPr>
              <w:widowControl/>
              <w:rPr>
                <w:rFonts w:hint="eastAsia" w:asciiTheme="majorEastAsia" w:hAnsiTheme="majorEastAsia" w:eastAsiaTheme="majorEastAsia" w:cstheme="majorEastAsia"/>
                <w:bCs/>
                <w:szCs w:val="24"/>
                <w:lang w:eastAsia="zh-CN"/>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南宝山服饰有限公司</w:t>
            </w:r>
          </w:p>
        </w:tc>
      </w:tr>
      <w:tr w14:paraId="27BA2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47083B1A">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获取谈判文件时间</w:t>
            </w:r>
          </w:p>
        </w:tc>
        <w:tc>
          <w:tcPr>
            <w:tcW w:w="6520" w:type="dxa"/>
            <w:noWrap/>
            <w:tcMar>
              <w:top w:w="36" w:type="dxa"/>
              <w:left w:w="36" w:type="dxa"/>
              <w:bottom w:w="36" w:type="dxa"/>
              <w:right w:w="36" w:type="dxa"/>
            </w:tcMar>
            <w:vAlign w:val="bottom"/>
          </w:tcPr>
          <w:p w14:paraId="70997D7B">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202</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年</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月</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日 9:00至202</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年</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月</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日 17:00</w:t>
            </w:r>
          </w:p>
        </w:tc>
      </w:tr>
      <w:tr w14:paraId="7F0B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518AB91F">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获取谈判文件地点</w:t>
            </w:r>
          </w:p>
        </w:tc>
        <w:tc>
          <w:tcPr>
            <w:tcW w:w="6520" w:type="dxa"/>
            <w:noWrap/>
            <w:tcMar>
              <w:top w:w="36" w:type="dxa"/>
              <w:left w:w="36" w:type="dxa"/>
              <w:bottom w:w="36" w:type="dxa"/>
              <w:right w:w="36" w:type="dxa"/>
            </w:tcMar>
            <w:vAlign w:val="bottom"/>
          </w:tcPr>
          <w:p w14:paraId="04B2DC5F">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邛崃监狱</w:t>
            </w:r>
            <w:r>
              <w:rPr>
                <w:rFonts w:hint="eastAsia" w:asciiTheme="majorEastAsia" w:hAnsiTheme="majorEastAsia" w:eastAsiaTheme="majorEastAsia" w:cstheme="majorEastAsia"/>
                <w:bCs/>
                <w:szCs w:val="24"/>
              </w:rPr>
              <w:t>官网（</w:t>
            </w:r>
            <w:r>
              <w:rPr>
                <w:rFonts w:hint="eastAsia" w:asciiTheme="majorEastAsia" w:hAnsiTheme="majorEastAsia" w:eastAsiaTheme="majorEastAsia" w:cstheme="majorEastAsia"/>
                <w:bCs/>
                <w:szCs w:val="24"/>
                <w:lang w:eastAsia="zh-CN"/>
              </w:rPr>
              <w:t>工作要闻</w:t>
            </w:r>
            <w:r>
              <w:rPr>
                <w:rFonts w:hint="eastAsia" w:asciiTheme="majorEastAsia" w:hAnsiTheme="majorEastAsia" w:eastAsiaTheme="majorEastAsia" w:cstheme="majorEastAsia"/>
                <w:bCs/>
                <w:szCs w:val="24"/>
              </w:rPr>
              <w:t>栏目）</w:t>
            </w:r>
          </w:p>
        </w:tc>
      </w:tr>
      <w:tr w14:paraId="38FCC3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7D0008F4">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响应文件递交地点</w:t>
            </w:r>
          </w:p>
        </w:tc>
        <w:tc>
          <w:tcPr>
            <w:tcW w:w="6520" w:type="dxa"/>
            <w:noWrap/>
            <w:tcMar>
              <w:top w:w="36" w:type="dxa"/>
              <w:left w:w="36" w:type="dxa"/>
              <w:bottom w:w="36" w:type="dxa"/>
              <w:right w:w="36" w:type="dxa"/>
            </w:tcMar>
            <w:vAlign w:val="bottom"/>
          </w:tcPr>
          <w:p w14:paraId="1EBC1984">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南宝山服饰有限公司</w:t>
            </w:r>
            <w:r>
              <w:rPr>
                <w:rFonts w:hint="eastAsia" w:asciiTheme="majorEastAsia" w:hAnsiTheme="majorEastAsia" w:eastAsiaTheme="majorEastAsia" w:cstheme="majorEastAsia"/>
                <w:bCs/>
                <w:szCs w:val="24"/>
              </w:rPr>
              <w:t>生产工作洽谈室</w:t>
            </w:r>
          </w:p>
        </w:tc>
      </w:tr>
      <w:tr w14:paraId="77DA28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59B8B4E0">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响应文件开启时间</w:t>
            </w:r>
          </w:p>
        </w:tc>
        <w:tc>
          <w:tcPr>
            <w:tcW w:w="6520" w:type="dxa"/>
            <w:noWrap/>
            <w:tcMar>
              <w:top w:w="36" w:type="dxa"/>
              <w:left w:w="36" w:type="dxa"/>
              <w:bottom w:w="36" w:type="dxa"/>
              <w:right w:w="36" w:type="dxa"/>
            </w:tcMar>
            <w:vAlign w:val="bottom"/>
          </w:tcPr>
          <w:p w14:paraId="2F7B0238">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202</w:t>
            </w:r>
            <w:r>
              <w:rPr>
                <w:rFonts w:hint="eastAsia" w:asciiTheme="majorEastAsia" w:hAnsiTheme="majorEastAsia" w:eastAsiaTheme="majorEastAsia" w:cstheme="majorEastAsia"/>
                <w:bCs/>
                <w:szCs w:val="24"/>
                <w:lang w:val="en-US" w:eastAsia="zh-CN"/>
              </w:rPr>
              <w:t>5</w:t>
            </w:r>
            <w:r>
              <w:rPr>
                <w:rFonts w:hint="eastAsia" w:asciiTheme="majorEastAsia" w:hAnsiTheme="majorEastAsia" w:eastAsiaTheme="majorEastAsia" w:cstheme="majorEastAsia"/>
                <w:bCs/>
                <w:szCs w:val="24"/>
              </w:rPr>
              <w:t>年</w:t>
            </w:r>
            <w:r>
              <w:rPr>
                <w:rFonts w:hint="eastAsia" w:asciiTheme="majorEastAsia" w:hAnsiTheme="majorEastAsia" w:eastAsiaTheme="majorEastAsia" w:cstheme="majorEastAsia"/>
                <w:bCs/>
                <w:szCs w:val="24"/>
                <w:lang w:val="en-US" w:eastAsia="zh-CN"/>
              </w:rPr>
              <w:t>9</w:t>
            </w:r>
            <w:r>
              <w:rPr>
                <w:rFonts w:hint="eastAsia" w:asciiTheme="majorEastAsia" w:hAnsiTheme="majorEastAsia" w:eastAsiaTheme="majorEastAsia" w:cstheme="majorEastAsia"/>
                <w:bCs/>
                <w:szCs w:val="24"/>
              </w:rPr>
              <w:t>月</w:t>
            </w:r>
            <w:r>
              <w:rPr>
                <w:rFonts w:hint="eastAsia" w:asciiTheme="majorEastAsia" w:hAnsiTheme="majorEastAsia" w:eastAsiaTheme="majorEastAsia" w:cstheme="majorEastAsia"/>
                <w:bCs/>
                <w:szCs w:val="24"/>
                <w:lang w:val="en-US" w:eastAsia="zh-CN"/>
              </w:rPr>
              <w:t>10</w:t>
            </w:r>
            <w:r>
              <w:rPr>
                <w:rFonts w:hint="eastAsia" w:asciiTheme="majorEastAsia" w:hAnsiTheme="majorEastAsia" w:eastAsiaTheme="majorEastAsia" w:cstheme="majorEastAsia"/>
                <w:bCs/>
                <w:szCs w:val="24"/>
              </w:rPr>
              <w:t xml:space="preserve">日 </w:t>
            </w:r>
            <w:r>
              <w:rPr>
                <w:rFonts w:hint="eastAsia" w:asciiTheme="majorEastAsia" w:hAnsiTheme="majorEastAsia" w:eastAsiaTheme="majorEastAsia" w:cstheme="majorEastAsia"/>
                <w:bCs/>
                <w:szCs w:val="24"/>
                <w:lang w:val="en-US" w:eastAsia="zh-CN"/>
              </w:rPr>
              <w:t>10</w:t>
            </w:r>
            <w:r>
              <w:rPr>
                <w:rFonts w:hint="eastAsia" w:asciiTheme="majorEastAsia" w:hAnsiTheme="majorEastAsia" w:eastAsiaTheme="majorEastAsia" w:cstheme="majorEastAsia"/>
                <w:bCs/>
                <w:szCs w:val="24"/>
              </w:rPr>
              <w:t>:</w:t>
            </w:r>
            <w:r>
              <w:rPr>
                <w:rFonts w:hint="eastAsia" w:asciiTheme="majorEastAsia" w:hAnsiTheme="majorEastAsia" w:eastAsiaTheme="majorEastAsia" w:cstheme="majorEastAsia"/>
                <w:bCs/>
                <w:szCs w:val="24"/>
                <w:lang w:val="en-US" w:eastAsia="zh-CN"/>
              </w:rPr>
              <w:t>1</w:t>
            </w:r>
            <w:r>
              <w:rPr>
                <w:rFonts w:hint="eastAsia" w:asciiTheme="majorEastAsia" w:hAnsiTheme="majorEastAsia" w:eastAsiaTheme="majorEastAsia" w:cstheme="majorEastAsia"/>
                <w:bCs/>
                <w:szCs w:val="24"/>
              </w:rPr>
              <w:t>0</w:t>
            </w:r>
          </w:p>
        </w:tc>
      </w:tr>
      <w:tr w14:paraId="18CAB5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44BB0FDC">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响应文件开启地点</w:t>
            </w:r>
          </w:p>
        </w:tc>
        <w:tc>
          <w:tcPr>
            <w:tcW w:w="6520" w:type="dxa"/>
            <w:noWrap/>
            <w:tcMar>
              <w:top w:w="36" w:type="dxa"/>
              <w:left w:w="36" w:type="dxa"/>
              <w:bottom w:w="36" w:type="dxa"/>
              <w:right w:w="36" w:type="dxa"/>
            </w:tcMar>
            <w:vAlign w:val="bottom"/>
          </w:tcPr>
          <w:p w14:paraId="3371C0F4">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w:t>
            </w:r>
            <w:r>
              <w:rPr>
                <w:rFonts w:hint="eastAsia" w:asciiTheme="majorEastAsia" w:hAnsiTheme="majorEastAsia" w:eastAsiaTheme="majorEastAsia" w:cstheme="majorEastAsia"/>
                <w:bCs/>
                <w:szCs w:val="24"/>
                <w:lang w:eastAsia="zh-CN"/>
              </w:rPr>
              <w:t>南宝山服饰有限公司</w:t>
            </w:r>
            <w:r>
              <w:rPr>
                <w:rFonts w:hint="eastAsia" w:asciiTheme="majorEastAsia" w:hAnsiTheme="majorEastAsia" w:eastAsiaTheme="majorEastAsia" w:cstheme="majorEastAsia"/>
                <w:bCs/>
                <w:szCs w:val="24"/>
              </w:rPr>
              <w:t>生产工作洽谈室</w:t>
            </w:r>
          </w:p>
        </w:tc>
      </w:tr>
      <w:tr w14:paraId="737A8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8789" w:type="dxa"/>
            <w:gridSpan w:val="2"/>
            <w:noWrap/>
            <w:tcMar>
              <w:top w:w="36" w:type="dxa"/>
              <w:left w:w="36" w:type="dxa"/>
              <w:bottom w:w="36" w:type="dxa"/>
              <w:right w:w="36" w:type="dxa"/>
            </w:tcMar>
            <w:vAlign w:val="bottom"/>
          </w:tcPr>
          <w:p w14:paraId="795F6735">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联系人及联系方式：</w:t>
            </w:r>
          </w:p>
        </w:tc>
      </w:tr>
      <w:tr w14:paraId="34BF7D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29AA268E">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项目联系单位</w:t>
            </w:r>
          </w:p>
        </w:tc>
        <w:tc>
          <w:tcPr>
            <w:tcW w:w="6520" w:type="dxa"/>
            <w:noWrap/>
            <w:tcMar>
              <w:top w:w="36" w:type="dxa"/>
              <w:left w:w="36" w:type="dxa"/>
              <w:bottom w:w="36" w:type="dxa"/>
              <w:right w:w="36" w:type="dxa"/>
            </w:tcMar>
            <w:vAlign w:val="bottom"/>
          </w:tcPr>
          <w:p w14:paraId="0B08EC63">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公司办</w:t>
            </w:r>
          </w:p>
        </w:tc>
      </w:tr>
      <w:tr w14:paraId="52D1A3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66343EEF">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项目联系电话</w:t>
            </w:r>
          </w:p>
        </w:tc>
        <w:tc>
          <w:tcPr>
            <w:tcW w:w="6520" w:type="dxa"/>
            <w:noWrap/>
            <w:tcMar>
              <w:top w:w="36" w:type="dxa"/>
              <w:left w:w="36" w:type="dxa"/>
              <w:bottom w:w="36" w:type="dxa"/>
              <w:right w:w="36" w:type="dxa"/>
            </w:tcMar>
            <w:vAlign w:val="bottom"/>
          </w:tcPr>
          <w:p w14:paraId="53796C63">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028-88808053，报名邮箱scsqljy88808053@163.com</w:t>
            </w:r>
          </w:p>
        </w:tc>
      </w:tr>
      <w:tr w14:paraId="4FD3D2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2DD73217">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采购单位</w:t>
            </w:r>
          </w:p>
        </w:tc>
        <w:tc>
          <w:tcPr>
            <w:tcW w:w="6520" w:type="dxa"/>
            <w:noWrap/>
            <w:tcMar>
              <w:top w:w="36" w:type="dxa"/>
              <w:left w:w="36" w:type="dxa"/>
              <w:bottom w:w="36" w:type="dxa"/>
              <w:right w:w="36" w:type="dxa"/>
            </w:tcMar>
            <w:vAlign w:val="bottom"/>
          </w:tcPr>
          <w:p w14:paraId="2C289CFE">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四川省南宝山服饰有限公司</w:t>
            </w:r>
          </w:p>
        </w:tc>
      </w:tr>
      <w:tr w14:paraId="19CD1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tcMar>
              <w:top w:w="36" w:type="dxa"/>
              <w:left w:w="36" w:type="dxa"/>
              <w:bottom w:w="36" w:type="dxa"/>
              <w:right w:w="22" w:type="dxa"/>
            </w:tcMar>
            <w:vAlign w:val="bottom"/>
          </w:tcPr>
          <w:p w14:paraId="0C311165">
            <w:pPr>
              <w:widowControl/>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采购单位地址</w:t>
            </w:r>
          </w:p>
        </w:tc>
        <w:tc>
          <w:tcPr>
            <w:tcW w:w="6520" w:type="dxa"/>
            <w:noWrap/>
            <w:tcMar>
              <w:top w:w="36" w:type="dxa"/>
              <w:left w:w="36" w:type="dxa"/>
              <w:bottom w:w="36" w:type="dxa"/>
              <w:right w:w="36" w:type="dxa"/>
            </w:tcMar>
            <w:vAlign w:val="bottom"/>
          </w:tcPr>
          <w:p w14:paraId="6531464B">
            <w:pPr>
              <w:widowControl/>
              <w:rPr>
                <w:rFonts w:asciiTheme="majorEastAsia" w:hAnsiTheme="majorEastAsia" w:eastAsiaTheme="majorEastAsia" w:cstheme="majorEastAsia"/>
                <w:bCs/>
                <w:szCs w:val="24"/>
              </w:rPr>
            </w:pPr>
            <w:r>
              <w:rPr>
                <w:rFonts w:hint="eastAsia" w:asciiTheme="majorEastAsia" w:hAnsiTheme="majorEastAsia" w:eastAsiaTheme="majorEastAsia" w:cstheme="majorEastAsia"/>
                <w:bCs/>
                <w:szCs w:val="24"/>
              </w:rPr>
              <w:t>成都市邛崃市临邛镇土陶村</w:t>
            </w:r>
          </w:p>
        </w:tc>
      </w:tr>
    </w:tbl>
    <w:p w14:paraId="0B6AA3C3">
      <w:pPr>
        <w:autoSpaceDE w:val="0"/>
        <w:autoSpaceDN w:val="0"/>
        <w:ind w:firstLine="560" w:firstLineChars="200"/>
        <w:rPr>
          <w:rFonts w:asciiTheme="majorEastAsia" w:hAnsiTheme="majorEastAsia" w:eastAsiaTheme="majorEastAsia" w:cstheme="majorEastAsia"/>
          <w:lang w:val="zh-CN"/>
        </w:rPr>
      </w:pPr>
    </w:p>
    <w:p w14:paraId="697084FE">
      <w:pPr>
        <w:autoSpaceDE w:val="0"/>
        <w:autoSpaceDN w:val="0"/>
        <w:ind w:left="5740" w:hanging="5740" w:hangingChars="2050"/>
        <w:rPr>
          <w:rFonts w:asciiTheme="majorEastAsia" w:hAnsiTheme="majorEastAsia" w:eastAsiaTheme="majorEastAsia" w:cstheme="majorEastAsia"/>
        </w:rPr>
      </w:pPr>
      <w:r>
        <w:rPr>
          <w:rFonts w:hint="eastAsia" w:asciiTheme="majorEastAsia" w:hAnsiTheme="majorEastAsia" w:eastAsiaTheme="majorEastAsia" w:cstheme="majorEastAsia"/>
        </w:rPr>
        <w:t xml:space="preserve">                                   四</w:t>
      </w:r>
      <w:r>
        <w:rPr>
          <w:rFonts w:hint="eastAsia" w:asciiTheme="majorEastAsia" w:hAnsiTheme="majorEastAsia" w:eastAsiaTheme="majorEastAsia" w:cstheme="majorEastAsia"/>
          <w:color w:val="000000" w:themeColor="text1"/>
          <w14:textFill>
            <w14:solidFill>
              <w14:schemeClr w14:val="tx1"/>
            </w14:solidFill>
          </w14:textFill>
        </w:rPr>
        <w:t xml:space="preserve">川省南宝山服饰有限公司 </w:t>
      </w:r>
      <w:r>
        <w:rPr>
          <w:rFonts w:hint="eastAsia" w:asciiTheme="majorEastAsia" w:hAnsiTheme="majorEastAsia" w:eastAsiaTheme="majorEastAsia" w:cstheme="majorEastAsia"/>
        </w:rPr>
        <w:t xml:space="preserve">                  202</w:t>
      </w: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日</w:t>
      </w:r>
      <w:bookmarkStart w:id="1" w:name="_GoBack"/>
      <w:bookmarkEnd w:id="1"/>
    </w:p>
    <w:p w14:paraId="78F4009B">
      <w:pPr>
        <w:spacing w:line="360" w:lineRule="auto"/>
        <w:rPr>
          <w:rFonts w:asciiTheme="majorEastAsia" w:hAnsiTheme="majorEastAsia" w:eastAsiaTheme="majorEastAsia" w:cstheme="majorEastAsia"/>
          <w:snapToGrid w:val="0"/>
        </w:rPr>
      </w:pPr>
    </w:p>
    <w:p w14:paraId="11BC6E01">
      <w:pP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br w:type="page"/>
      </w:r>
    </w:p>
    <w:p w14:paraId="010E4FE9">
      <w:pPr>
        <w:jc w:val="cente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第二部分  谈判须知</w:t>
      </w:r>
    </w:p>
    <w:p w14:paraId="1AB79887">
      <w:pPr>
        <w:spacing w:line="440" w:lineRule="exact"/>
        <w:rPr>
          <w:rFonts w:asciiTheme="majorEastAsia" w:hAnsiTheme="majorEastAsia" w:eastAsiaTheme="majorEastAsia" w:cstheme="majorEastAsia"/>
          <w:snapToGrid w:val="0"/>
        </w:rPr>
      </w:pPr>
    </w:p>
    <w:p w14:paraId="2F6A9B4B">
      <w:pPr>
        <w:spacing w:line="580" w:lineRule="exact"/>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一、项目概况</w:t>
      </w:r>
    </w:p>
    <w:p w14:paraId="650992A6">
      <w:pPr>
        <w:spacing w:line="580" w:lineRule="exact"/>
        <w:ind w:right="720" w:firstLine="560" w:firstLineChars="200"/>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rPr>
        <w:t>四</w:t>
      </w:r>
      <w:r>
        <w:rPr>
          <w:rFonts w:hint="eastAsia" w:asciiTheme="majorEastAsia" w:hAnsiTheme="majorEastAsia" w:eastAsiaTheme="majorEastAsia" w:cstheme="majorEastAsia"/>
          <w:snapToGrid w:val="0"/>
        </w:rPr>
        <w:t>川省</w:t>
      </w:r>
      <w:r>
        <w:rPr>
          <w:rFonts w:hint="eastAsia" w:asciiTheme="majorEastAsia" w:hAnsiTheme="majorEastAsia" w:eastAsiaTheme="majorEastAsia" w:cstheme="majorEastAsia"/>
          <w:lang w:eastAsia="zh-CN"/>
        </w:rPr>
        <w:t>南宝山服饰有限公司</w:t>
      </w:r>
      <w:r>
        <w:rPr>
          <w:rFonts w:hint="eastAsia" w:asciiTheme="majorEastAsia" w:hAnsiTheme="majorEastAsia" w:eastAsiaTheme="majorEastAsia" w:cstheme="majorEastAsia"/>
          <w:snapToGrid w:val="0"/>
        </w:rPr>
        <w:t>通过谈判确定1家合格</w:t>
      </w:r>
      <w:r>
        <w:rPr>
          <w:rFonts w:hint="eastAsia" w:asciiTheme="majorEastAsia" w:hAnsiTheme="majorEastAsia" w:eastAsiaTheme="majorEastAsia" w:cstheme="majorEastAsia"/>
          <w:snapToGrid w:val="0"/>
          <w:sz w:val="28"/>
          <w:szCs w:val="28"/>
          <w:lang w:eastAsia="zh-CN"/>
        </w:rPr>
        <w:t>的供应商承担我公司劳动能力等级鉴定和伤残程度评定事宜。</w:t>
      </w:r>
    </w:p>
    <w:p w14:paraId="6F781017">
      <w:pPr>
        <w:pStyle w:val="5"/>
        <w:numPr>
          <w:ilvl w:val="0"/>
          <w:numId w:val="1"/>
        </w:numPr>
        <w:ind w:firstLine="560" w:firstLineChars="200"/>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lang w:eastAsia="zh-CN"/>
        </w:rPr>
        <w:t>采购需求</w:t>
      </w:r>
    </w:p>
    <w:p w14:paraId="50A5E83F">
      <w:pPr>
        <w:pStyle w:val="5"/>
        <w:numPr>
          <w:ilvl w:val="0"/>
          <w:numId w:val="0"/>
        </w:numPr>
        <w:rPr>
          <w:rFonts w:hint="default" w:asciiTheme="majorEastAsia" w:hAnsiTheme="majorEastAsia" w:eastAsiaTheme="majorEastAsia" w:cstheme="majorEastAsia"/>
          <w:lang w:val="en-US"/>
        </w:rPr>
      </w:pPr>
      <w:r>
        <w:rPr>
          <w:rFonts w:hint="eastAsia" w:asciiTheme="majorEastAsia" w:hAnsiTheme="majorEastAsia" w:eastAsiaTheme="majorEastAsia" w:cstheme="majorEastAsia"/>
          <w:snapToGrid w:val="0"/>
          <w:sz w:val="28"/>
          <w:szCs w:val="28"/>
          <w:lang w:val="en-US" w:eastAsia="zh-CN"/>
        </w:rPr>
        <w:t>1、</w:t>
      </w:r>
      <w:r>
        <w:rPr>
          <w:rFonts w:hint="eastAsia" w:asciiTheme="majorEastAsia" w:hAnsiTheme="majorEastAsia" w:eastAsiaTheme="majorEastAsia" w:cstheme="majorEastAsia"/>
          <w:snapToGrid w:val="0"/>
          <w:sz w:val="28"/>
          <w:szCs w:val="28"/>
          <w:lang w:eastAsia="zh-CN"/>
        </w:rPr>
        <w:t>主要服务内容：</w:t>
      </w:r>
      <w:r>
        <w:rPr>
          <w:rFonts w:hint="eastAsia" w:asciiTheme="majorEastAsia" w:hAnsiTheme="majorEastAsia" w:eastAsiaTheme="majorEastAsia" w:cstheme="majorEastAsia"/>
          <w:snapToGrid w:val="0"/>
          <w:sz w:val="28"/>
          <w:szCs w:val="28"/>
          <w:lang w:val="en-US" w:eastAsia="zh-CN"/>
        </w:rPr>
        <w:t>1、劳动能力鉴定：最高限价900.00元/例；2、伤残程度评定：最高限价1200.00元/例。以上两项服务内容根据实际鉴定人数据实结算，三年总费用不超过45000.00元。</w:t>
      </w:r>
    </w:p>
    <w:p w14:paraId="60650967">
      <w:pPr>
        <w:pStyle w:val="6"/>
        <w:numPr>
          <w:ilvl w:val="0"/>
          <w:numId w:val="0"/>
        </w:numPr>
        <w:rPr>
          <w:rFonts w:hint="eastAsia"/>
          <w:lang w:eastAsia="zh-CN"/>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2、</w:t>
      </w:r>
      <w:r>
        <w:rPr>
          <w:rFonts w:hint="eastAsia"/>
          <w:lang w:eastAsia="zh-CN"/>
        </w:rPr>
        <w:t>鉴定次数：一年一到两次。</w:t>
      </w:r>
    </w:p>
    <w:p w14:paraId="4BA934E1">
      <w:pPr>
        <w:pStyle w:val="6"/>
        <w:numPr>
          <w:ilvl w:val="0"/>
          <w:numId w:val="0"/>
        </w:numPr>
        <w:rPr>
          <w:rFonts w:hint="default"/>
          <w:lang w:val="en-US" w:eastAsia="zh-CN"/>
        </w:rPr>
      </w:pPr>
      <w:r>
        <w:rPr>
          <w:rFonts w:hint="eastAsia"/>
          <w:lang w:val="en-US" w:eastAsia="zh-CN"/>
        </w:rPr>
        <w:t>3、鉴定报告出具时限：</w:t>
      </w:r>
    </w:p>
    <w:p w14:paraId="48CB3952">
      <w:pPr>
        <w:pStyle w:val="6"/>
        <w:numPr>
          <w:ilvl w:val="0"/>
          <w:numId w:val="0"/>
        </w:numPr>
        <w:ind w:firstLine="560" w:firstLineChars="200"/>
        <w:rPr>
          <w:rFonts w:hint="eastAsia"/>
          <w:lang w:eastAsia="zh-CN"/>
        </w:rPr>
      </w:pPr>
      <w:r>
        <w:rPr>
          <w:rFonts w:hint="eastAsia"/>
          <w:lang w:eastAsia="zh-CN"/>
        </w:rPr>
        <w:t>中选供应商在接到采购人书面或电子文件进场通知后5 个工作日内组织开展鉴定工作，在鉴定结束后 15 个工作日内完成服务内容并交付鉴定报告。</w:t>
      </w:r>
    </w:p>
    <w:p w14:paraId="4168B0F5">
      <w:pPr>
        <w:pStyle w:val="6"/>
        <w:numPr>
          <w:ilvl w:val="0"/>
          <w:numId w:val="0"/>
        </w:numPr>
        <w:rPr>
          <w:rFonts w:hint="eastAsia"/>
          <w:lang w:eastAsia="zh-CN"/>
        </w:rPr>
      </w:pPr>
      <w:r>
        <w:rPr>
          <w:rFonts w:hint="eastAsia"/>
          <w:lang w:val="en-US" w:eastAsia="zh-CN"/>
        </w:rPr>
        <w:t>4、</w:t>
      </w:r>
      <w:r>
        <w:rPr>
          <w:rFonts w:hint="eastAsia"/>
          <w:lang w:eastAsia="zh-CN"/>
        </w:rPr>
        <w:t> 验收标准和方式</w:t>
      </w:r>
    </w:p>
    <w:p w14:paraId="17DD33CF">
      <w:pPr>
        <w:pStyle w:val="6"/>
        <w:numPr>
          <w:ilvl w:val="0"/>
          <w:numId w:val="0"/>
        </w:numPr>
        <w:rPr>
          <w:rFonts w:hint="eastAsia"/>
          <w:lang w:eastAsia="zh-CN"/>
        </w:rPr>
      </w:pPr>
      <w:r>
        <w:rPr>
          <w:rFonts w:hint="eastAsia"/>
          <w:lang w:eastAsia="zh-CN"/>
        </w:rPr>
        <w:t>（</w:t>
      </w:r>
      <w:r>
        <w:rPr>
          <w:rFonts w:hint="eastAsia"/>
          <w:lang w:val="en-US" w:eastAsia="zh-CN"/>
        </w:rPr>
        <w:t>1</w:t>
      </w:r>
      <w:r>
        <w:rPr>
          <w:rFonts w:hint="eastAsia"/>
          <w:lang w:eastAsia="zh-CN"/>
        </w:rPr>
        <w:t>）技术服务以国家标准、行业标准或地方标准为验收标准。</w:t>
      </w:r>
    </w:p>
    <w:p w14:paraId="7B21E1EE">
      <w:pPr>
        <w:pStyle w:val="6"/>
        <w:numPr>
          <w:ilvl w:val="0"/>
          <w:numId w:val="0"/>
        </w:numPr>
        <w:rPr>
          <w:rFonts w:hint="eastAsia"/>
          <w:lang w:val="en-US" w:eastAsia="zh-CN"/>
        </w:rPr>
      </w:pPr>
      <w:r>
        <w:rPr>
          <w:rFonts w:hint="eastAsia"/>
          <w:lang w:val="en-US" w:eastAsia="zh-CN"/>
        </w:rPr>
        <w:t>5、</w:t>
      </w:r>
      <w:r>
        <w:rPr>
          <w:rFonts w:hint="eastAsia"/>
          <w:lang w:eastAsia="zh-CN"/>
        </w:rPr>
        <w:t> 付款方式：每次鉴定完成并出具鉴定报告（意见书）后，并提供增值税专用发票，</w:t>
      </w:r>
      <w:r>
        <w:rPr>
          <w:rFonts w:hint="eastAsia"/>
          <w:lang w:val="en-US" w:eastAsia="zh-CN"/>
        </w:rPr>
        <w:t>15个工作日内支付当次鉴定费用；</w:t>
      </w:r>
    </w:p>
    <w:p w14:paraId="4CE810C8">
      <w:pPr>
        <w:pStyle w:val="6"/>
        <w:numPr>
          <w:ilvl w:val="0"/>
          <w:numId w:val="0"/>
        </w:numPr>
        <w:rPr>
          <w:rFonts w:hint="eastAsia"/>
          <w:lang w:val="en-US" w:eastAsia="zh-CN"/>
        </w:rPr>
      </w:pPr>
      <w:r>
        <w:rPr>
          <w:rFonts w:hint="eastAsia"/>
          <w:lang w:val="en-US" w:eastAsia="zh-CN"/>
        </w:rPr>
        <w:t>6、未尽事宜合同约定。</w:t>
      </w:r>
    </w:p>
    <w:p w14:paraId="5143C060">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三、谈判评选方式</w:t>
      </w:r>
    </w:p>
    <w:p w14:paraId="73350A28">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1.被邀请供应商按照谈判文件第三部分内容编制投标文件，编制完成的投标文件用文件袋包装，在封套封口处加盖鲜章，谈判当天向谈判人提交。投标文件只需正本一份。</w:t>
      </w:r>
    </w:p>
    <w:p w14:paraId="5A384EF4">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 xml:space="preserve">2.实质性审查：谈判人对被邀请供应商所提交资质证明文件进行实质性审查，供应商资质符合项目要求的，才能进入报价部分评审；资质不符合项目要求的，为废标。 </w:t>
      </w:r>
    </w:p>
    <w:p w14:paraId="6D8DF8EB">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3.</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最终</w:t>
      </w:r>
      <w:r>
        <w:rPr>
          <w:rFonts w:hint="eastAsia" w:asciiTheme="majorEastAsia" w:hAnsiTheme="majorEastAsia" w:eastAsiaTheme="majorEastAsia" w:cstheme="majorEastAsia"/>
          <w:snapToGrid w:val="0"/>
          <w:color w:val="000000" w:themeColor="text1"/>
          <w14:textFill>
            <w14:solidFill>
              <w14:schemeClr w14:val="tx1"/>
            </w14:solidFill>
          </w14:textFill>
        </w:rPr>
        <w:t>报价：符合条件的供应商在谈判结束后进行</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最终</w:t>
      </w:r>
      <w:r>
        <w:rPr>
          <w:rFonts w:hint="eastAsia" w:asciiTheme="majorEastAsia" w:hAnsiTheme="majorEastAsia" w:eastAsiaTheme="majorEastAsia" w:cstheme="majorEastAsia"/>
          <w:snapToGrid w:val="0"/>
          <w:color w:val="000000" w:themeColor="text1"/>
          <w14:textFill>
            <w14:solidFill>
              <w14:schemeClr w14:val="tx1"/>
            </w14:solidFill>
          </w14:textFill>
        </w:rPr>
        <w:t>报价，</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最终</w:t>
      </w:r>
      <w:r>
        <w:rPr>
          <w:rFonts w:hint="eastAsia" w:asciiTheme="majorEastAsia" w:hAnsiTheme="majorEastAsia" w:eastAsiaTheme="majorEastAsia" w:cstheme="majorEastAsia"/>
          <w:snapToGrid w:val="0"/>
          <w:color w:val="000000" w:themeColor="text1"/>
          <w14:textFill>
            <w14:solidFill>
              <w14:schemeClr w14:val="tx1"/>
            </w14:solidFill>
          </w14:textFill>
        </w:rPr>
        <w:t>报价最低的供应商为中标人。</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如最终报价出现两家以上报价相同且为最低价的情况，则通过现场抽签方式确定中选供应商。</w:t>
      </w:r>
      <w:r>
        <w:rPr>
          <w:rFonts w:hint="eastAsia" w:asciiTheme="majorEastAsia" w:hAnsiTheme="majorEastAsia" w:eastAsiaTheme="majorEastAsia" w:cstheme="majorEastAsia"/>
          <w:snapToGrid w:val="0"/>
          <w:color w:val="000000" w:themeColor="text1"/>
          <w14:textFill>
            <w14:solidFill>
              <w14:schemeClr w14:val="tx1"/>
            </w14:solidFill>
          </w14:textFill>
        </w:rPr>
        <w:t xml:space="preserve"> </w:t>
      </w:r>
    </w:p>
    <w:p w14:paraId="2B1A4306">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4.谈判人向所有供应商当场宣布</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谈判</w:t>
      </w:r>
      <w:r>
        <w:rPr>
          <w:rFonts w:hint="eastAsia" w:asciiTheme="majorEastAsia" w:hAnsiTheme="majorEastAsia" w:eastAsiaTheme="majorEastAsia" w:cstheme="majorEastAsia"/>
          <w:snapToGrid w:val="0"/>
          <w:color w:val="000000" w:themeColor="text1"/>
          <w14:textFill>
            <w14:solidFill>
              <w14:schemeClr w14:val="tx1"/>
            </w14:solidFill>
          </w14:textFill>
        </w:rPr>
        <w:t>结果，宣布谈判结束。</w:t>
      </w:r>
    </w:p>
    <w:p w14:paraId="7DD2B74D">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5．经过谈判确定中选候选人后，谈判人不对其他未中选的被邀请人，就</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谈判</w:t>
      </w:r>
      <w:r>
        <w:rPr>
          <w:rFonts w:hint="eastAsia" w:asciiTheme="majorEastAsia" w:hAnsiTheme="majorEastAsia" w:eastAsiaTheme="majorEastAsia" w:cstheme="majorEastAsia"/>
          <w:snapToGrid w:val="0"/>
          <w:color w:val="000000" w:themeColor="text1"/>
          <w14:textFill>
            <w14:solidFill>
              <w14:schemeClr w14:val="tx1"/>
            </w14:solidFill>
          </w14:textFill>
        </w:rPr>
        <w:t>过程和未能中选原因作任何解释。</w:t>
      </w:r>
    </w:p>
    <w:p w14:paraId="1729C2F8">
      <w:pPr>
        <w:spacing w:line="360" w:lineRule="auto"/>
        <w:jc w:val="center"/>
        <w:rPr>
          <w:rFonts w:asciiTheme="majorEastAsia" w:hAnsiTheme="majorEastAsia" w:eastAsiaTheme="majorEastAsia" w:cstheme="majorEastAsia"/>
          <w:b/>
          <w:snapToGrid w:val="0"/>
          <w:color w:val="000000" w:themeColor="text1"/>
          <w:sz w:val="44"/>
          <w:szCs w:val="44"/>
          <w14:textFill>
            <w14:solidFill>
              <w14:schemeClr w14:val="tx1"/>
            </w14:solidFill>
          </w14:textFill>
        </w:rPr>
      </w:pPr>
    </w:p>
    <w:p w14:paraId="6153430A">
      <w:pPr>
        <w:spacing w:line="360" w:lineRule="auto"/>
        <w:jc w:val="center"/>
        <w:rPr>
          <w:rFonts w:asciiTheme="majorEastAsia" w:hAnsiTheme="majorEastAsia" w:eastAsiaTheme="majorEastAsia" w:cstheme="majorEastAsia"/>
          <w:b/>
          <w:snapToGrid w:val="0"/>
          <w:color w:val="000000" w:themeColor="text1"/>
          <w:sz w:val="44"/>
          <w:szCs w:val="44"/>
          <w14:textFill>
            <w14:solidFill>
              <w14:schemeClr w14:val="tx1"/>
            </w14:solidFill>
          </w14:textFill>
        </w:rPr>
      </w:pPr>
    </w:p>
    <w:p w14:paraId="4F8741A9">
      <w:pPr>
        <w:spacing w:line="360" w:lineRule="auto"/>
        <w:jc w:val="center"/>
        <w:rPr>
          <w:rFonts w:hint="eastAsia" w:asciiTheme="majorEastAsia" w:hAnsiTheme="majorEastAsia" w:eastAsiaTheme="majorEastAsia" w:cstheme="majorEastAsia"/>
          <w:b/>
          <w:snapToGrid w:val="0"/>
          <w:sz w:val="44"/>
          <w:szCs w:val="44"/>
          <w:lang w:val="en-US" w:eastAsia="zh-CN"/>
        </w:rPr>
      </w:pPr>
      <w:r>
        <w:rPr>
          <w:rFonts w:hint="eastAsia" w:asciiTheme="majorEastAsia" w:hAnsiTheme="majorEastAsia" w:eastAsiaTheme="majorEastAsia" w:cstheme="majorEastAsia"/>
          <w:b/>
          <w:snapToGrid w:val="0"/>
          <w:sz w:val="44"/>
          <w:szCs w:val="44"/>
          <w:lang w:val="en-US" w:eastAsia="zh-CN"/>
        </w:rPr>
        <w:t xml:space="preserve">   </w:t>
      </w:r>
    </w:p>
    <w:p w14:paraId="5087B2BC">
      <w:pPr>
        <w:spacing w:line="360" w:lineRule="auto"/>
        <w:jc w:val="center"/>
        <w:rPr>
          <w:rFonts w:hint="eastAsia" w:asciiTheme="majorEastAsia" w:hAnsiTheme="majorEastAsia" w:eastAsiaTheme="majorEastAsia" w:cstheme="majorEastAsia"/>
          <w:b/>
          <w:snapToGrid w:val="0"/>
          <w:sz w:val="44"/>
          <w:szCs w:val="44"/>
          <w:lang w:val="en-US" w:eastAsia="zh-CN"/>
        </w:rPr>
      </w:pPr>
    </w:p>
    <w:p w14:paraId="3931D543">
      <w:pPr>
        <w:spacing w:line="360" w:lineRule="auto"/>
        <w:jc w:val="center"/>
      </w:pPr>
      <w:r>
        <w:rPr>
          <w:rFonts w:hint="eastAsia" w:asciiTheme="majorEastAsia" w:hAnsiTheme="majorEastAsia" w:eastAsiaTheme="majorEastAsia" w:cstheme="majorEastAsia"/>
          <w:b/>
          <w:snapToGrid w:val="0"/>
          <w:sz w:val="44"/>
          <w:szCs w:val="44"/>
        </w:rPr>
        <w:t>第三部分报价文件格式</w:t>
      </w:r>
    </w:p>
    <w:p w14:paraId="30B7B109">
      <w:pPr>
        <w:widowControl/>
        <w:shd w:val="clear" w:color="auto" w:fill="FFFFFF"/>
        <w:spacing w:line="560" w:lineRule="exact"/>
        <w:ind w:firstLine="723" w:firstLineChars="200"/>
        <w:jc w:val="center"/>
        <w:rPr>
          <w:rFonts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报价单</w:t>
      </w:r>
    </w:p>
    <w:p w14:paraId="73BD7408">
      <w:pPr>
        <w:widowControl/>
        <w:shd w:val="clear" w:color="auto" w:fill="FFFFFF"/>
        <w:spacing w:line="540" w:lineRule="atLeast"/>
        <w:rPr>
          <w:rFonts w:asciiTheme="minorEastAsia" w:hAnsiTheme="minorEastAsia" w:eastAsiaTheme="minorEastAsia" w:cstheme="minorEastAsia"/>
          <w:b/>
          <w:bCs/>
        </w:rPr>
      </w:pPr>
      <w:r>
        <w:rPr>
          <w:rFonts w:hint="eastAsia" w:asciiTheme="minorEastAsia" w:hAnsiTheme="minorEastAsia" w:eastAsiaTheme="minorEastAsia" w:cstheme="minorEastAsia"/>
          <w:bCs/>
          <w:u w:val="single"/>
        </w:rPr>
        <w:t>四川省</w:t>
      </w:r>
      <w:r>
        <w:rPr>
          <w:rFonts w:hint="eastAsia" w:asciiTheme="minorEastAsia" w:hAnsiTheme="minorEastAsia" w:eastAsiaTheme="minorEastAsia" w:cstheme="minorEastAsia"/>
          <w:bCs/>
          <w:u w:val="single"/>
          <w:lang w:eastAsia="zh-CN"/>
        </w:rPr>
        <w:t>南宝山服饰有限公司</w:t>
      </w:r>
      <w:r>
        <w:rPr>
          <w:rFonts w:hint="eastAsia" w:asciiTheme="minorEastAsia" w:hAnsiTheme="minorEastAsia" w:eastAsiaTheme="minorEastAsia" w:cstheme="minorEastAsia"/>
          <w:b/>
          <w:bCs/>
        </w:rPr>
        <w:t>：</w:t>
      </w:r>
    </w:p>
    <w:p w14:paraId="78D808C8">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snapToGrid w:val="0"/>
        </w:rPr>
        <w:t>（被邀请人全称）参加贵方组织的</w:t>
      </w:r>
      <w:r>
        <w:rPr>
          <w:rFonts w:hint="eastAsia" w:asciiTheme="majorEastAsia" w:hAnsiTheme="majorEastAsia" w:eastAsiaTheme="majorEastAsia" w:cstheme="majorEastAsia"/>
        </w:rPr>
        <w:t>四川省</w:t>
      </w:r>
      <w:r>
        <w:rPr>
          <w:rFonts w:hint="eastAsia" w:asciiTheme="majorEastAsia" w:hAnsiTheme="majorEastAsia" w:eastAsiaTheme="majorEastAsia" w:cstheme="majorEastAsia"/>
          <w:lang w:eastAsia="zh-CN"/>
        </w:rPr>
        <w:t>南宝山服饰有限公司劳动能力等级鉴定和伤残程度评定（第二次）</w:t>
      </w:r>
      <w:r>
        <w:rPr>
          <w:rFonts w:hint="eastAsia" w:asciiTheme="majorEastAsia" w:hAnsiTheme="majorEastAsia" w:eastAsiaTheme="majorEastAsia" w:cstheme="majorEastAsia"/>
        </w:rPr>
        <w:t>采购项目，</w:t>
      </w:r>
      <w:r>
        <w:rPr>
          <w:rFonts w:hint="eastAsia" w:asciiTheme="minorEastAsia" w:hAnsiTheme="minorEastAsia" w:eastAsiaTheme="minorEastAsia" w:cstheme="minorEastAsia"/>
        </w:rPr>
        <w:t>在分析了相关资料和实际情况后，我公司愿意以</w:t>
      </w:r>
      <w:r>
        <w:rPr>
          <w:rFonts w:hint="eastAsia" w:asciiTheme="minorEastAsia" w:hAnsiTheme="minorEastAsia" w:eastAsiaTheme="minorEastAsia" w:cstheme="minorEastAsia"/>
          <w:lang w:eastAsia="zh-CN"/>
        </w:rPr>
        <w:t>：劳动能力等级鉴定：</w:t>
      </w:r>
      <w:r>
        <w:rPr>
          <w:rFonts w:hint="eastAsia" w:asciiTheme="minorEastAsia" w:hAnsiTheme="minorEastAsia" w:eastAsiaTheme="minorEastAsia" w:cstheme="minorEastAsia"/>
          <w:lang w:val="en-US" w:eastAsia="zh-CN"/>
        </w:rPr>
        <w:t xml:space="preserve">      元/例，伤残程度评定：        元/例，</w:t>
      </w:r>
      <w:r>
        <w:rPr>
          <w:rFonts w:hint="eastAsia" w:asciiTheme="minorEastAsia" w:hAnsiTheme="minorEastAsia" w:eastAsiaTheme="minorEastAsia" w:cstheme="minorEastAsia"/>
        </w:rPr>
        <w:t>参与该项目，完成项目工作内容的全部任务。如我方中标，我方承诺：</w:t>
      </w:r>
    </w:p>
    <w:p w14:paraId="434C721A">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按合同条件完成服务内容。</w:t>
      </w:r>
    </w:p>
    <w:p w14:paraId="2B4F6254">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以上为我方参加谈判的申请，如违反，则自行承担相应法律责任，自愿按照相关规定接受处罚。</w:t>
      </w:r>
    </w:p>
    <w:p w14:paraId="6CA4E0AD">
      <w:pPr>
        <w:widowControl/>
        <w:shd w:val="clear" w:color="auto" w:fill="FFFFFF"/>
        <w:spacing w:before="100" w:after="100" w:line="800" w:lineRule="atLeast"/>
        <w:ind w:right="26"/>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被邀请人：（盖单位章）</w:t>
      </w:r>
    </w:p>
    <w:p w14:paraId="7F068F37">
      <w:pPr>
        <w:widowControl/>
        <w:shd w:val="clear" w:color="auto" w:fill="FFFFFF"/>
        <w:spacing w:line="80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地址：</w:t>
      </w:r>
    </w:p>
    <w:p w14:paraId="61A71138">
      <w:pPr>
        <w:widowControl/>
        <w:shd w:val="clear" w:color="auto" w:fill="FFFFFF"/>
        <w:spacing w:line="80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联系方式：</w:t>
      </w:r>
    </w:p>
    <w:p w14:paraId="0F2F3D08">
      <w:pPr>
        <w:widowControl/>
        <w:shd w:val="clear" w:color="auto" w:fill="FFFFFF"/>
        <w:wordWrap w:val="0"/>
        <w:spacing w:line="540" w:lineRule="atLeast"/>
        <w:ind w:right="840" w:firstLine="3360" w:firstLineChars="1200"/>
        <w:jc w:val="right"/>
        <w:rPr>
          <w:rFonts w:asciiTheme="minorEastAsia" w:hAnsiTheme="minorEastAsia" w:eastAsiaTheme="minorEastAsia" w:cstheme="minor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Cs/>
        </w:rPr>
        <w:t>年  月  日</w:t>
      </w:r>
    </w:p>
    <w:p w14:paraId="1AEA3CBE">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t>资质证明文件</w:t>
      </w:r>
    </w:p>
    <w:p w14:paraId="0E190859">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rPr>
        <w:t>（资质证书复印件加盖企业鲜章）。</w:t>
      </w:r>
    </w:p>
    <w:p w14:paraId="3165F148">
      <w:pPr>
        <w:rPr>
          <w:rFonts w:asciiTheme="majorEastAsia" w:hAnsiTheme="majorEastAsia" w:eastAsiaTheme="majorEastAsia" w:cstheme="majorEastAsia"/>
          <w:bCs/>
          <w:snapToGrid w:val="0"/>
        </w:rPr>
      </w:pPr>
    </w:p>
    <w:p w14:paraId="071592FB">
      <w:pPr>
        <w:jc w:val="center"/>
        <w:rPr>
          <w:rFonts w:asciiTheme="majorEastAsia" w:hAnsiTheme="majorEastAsia" w:eastAsiaTheme="majorEastAsia" w:cstheme="majorEastAsia"/>
          <w:b/>
          <w:snapToGrid w:val="0"/>
          <w:sz w:val="36"/>
          <w:szCs w:val="36"/>
        </w:rPr>
      </w:pPr>
    </w:p>
    <w:p w14:paraId="702F02F7">
      <w:pPr>
        <w:jc w:val="center"/>
        <w:rPr>
          <w:rFonts w:asciiTheme="majorEastAsia" w:hAnsiTheme="majorEastAsia" w:eastAsiaTheme="majorEastAsia" w:cstheme="majorEastAsia"/>
          <w:b/>
          <w:snapToGrid w:val="0"/>
          <w:sz w:val="36"/>
          <w:szCs w:val="36"/>
        </w:rPr>
      </w:pPr>
    </w:p>
    <w:p w14:paraId="17A7253A">
      <w:pPr>
        <w:jc w:val="center"/>
        <w:rPr>
          <w:rFonts w:asciiTheme="majorEastAsia" w:hAnsiTheme="majorEastAsia" w:eastAsiaTheme="majorEastAsia" w:cstheme="majorEastAsia"/>
          <w:b/>
          <w:snapToGrid w:val="0"/>
          <w:sz w:val="36"/>
          <w:szCs w:val="36"/>
        </w:rPr>
      </w:pPr>
    </w:p>
    <w:p w14:paraId="1F707556">
      <w:pPr>
        <w:jc w:val="center"/>
        <w:rPr>
          <w:rFonts w:asciiTheme="majorEastAsia" w:hAnsiTheme="majorEastAsia" w:eastAsiaTheme="majorEastAsia" w:cstheme="majorEastAsia"/>
          <w:b/>
          <w:snapToGrid w:val="0"/>
          <w:sz w:val="36"/>
          <w:szCs w:val="36"/>
        </w:rPr>
      </w:pPr>
    </w:p>
    <w:p w14:paraId="5D5ED570">
      <w:pPr>
        <w:jc w:val="center"/>
        <w:rPr>
          <w:rFonts w:asciiTheme="majorEastAsia" w:hAnsiTheme="majorEastAsia" w:eastAsiaTheme="majorEastAsia" w:cstheme="majorEastAsia"/>
          <w:b/>
          <w:snapToGrid w:val="0"/>
          <w:sz w:val="36"/>
          <w:szCs w:val="36"/>
        </w:rPr>
      </w:pPr>
    </w:p>
    <w:p w14:paraId="6F02D3BD">
      <w:pPr>
        <w:jc w:val="center"/>
        <w:rPr>
          <w:rFonts w:asciiTheme="majorEastAsia" w:hAnsiTheme="majorEastAsia" w:eastAsiaTheme="majorEastAsia" w:cstheme="majorEastAsia"/>
          <w:b/>
          <w:snapToGrid w:val="0"/>
          <w:sz w:val="36"/>
          <w:szCs w:val="36"/>
        </w:rPr>
      </w:pPr>
    </w:p>
    <w:p w14:paraId="5D2DD2AA">
      <w:pPr>
        <w:jc w:val="center"/>
        <w:rPr>
          <w:rFonts w:asciiTheme="majorEastAsia" w:hAnsiTheme="majorEastAsia" w:eastAsiaTheme="majorEastAsia" w:cstheme="majorEastAsia"/>
          <w:b/>
          <w:snapToGrid w:val="0"/>
          <w:sz w:val="36"/>
          <w:szCs w:val="36"/>
        </w:rPr>
      </w:pPr>
    </w:p>
    <w:p w14:paraId="7099D72D">
      <w:pPr>
        <w:jc w:val="center"/>
        <w:rPr>
          <w:rFonts w:asciiTheme="majorEastAsia" w:hAnsiTheme="majorEastAsia" w:eastAsiaTheme="majorEastAsia" w:cstheme="majorEastAsia"/>
          <w:b/>
          <w:snapToGrid w:val="0"/>
          <w:sz w:val="36"/>
          <w:szCs w:val="36"/>
        </w:rPr>
      </w:pPr>
    </w:p>
    <w:p w14:paraId="1A424C2C">
      <w:pPr>
        <w:jc w:val="center"/>
        <w:rPr>
          <w:rFonts w:asciiTheme="majorEastAsia" w:hAnsiTheme="majorEastAsia" w:eastAsiaTheme="majorEastAsia" w:cstheme="majorEastAsia"/>
          <w:b/>
          <w:snapToGrid w:val="0"/>
          <w:sz w:val="36"/>
          <w:szCs w:val="36"/>
        </w:rPr>
      </w:pPr>
    </w:p>
    <w:p w14:paraId="2CF73AE3">
      <w:pPr>
        <w:jc w:val="center"/>
        <w:rPr>
          <w:rFonts w:asciiTheme="majorEastAsia" w:hAnsiTheme="majorEastAsia" w:eastAsiaTheme="majorEastAsia" w:cstheme="majorEastAsia"/>
          <w:b/>
          <w:snapToGrid w:val="0"/>
          <w:sz w:val="36"/>
          <w:szCs w:val="36"/>
        </w:rPr>
      </w:pPr>
    </w:p>
    <w:p w14:paraId="1666FEED">
      <w:pPr>
        <w:jc w:val="center"/>
        <w:rPr>
          <w:rFonts w:asciiTheme="majorEastAsia" w:hAnsiTheme="majorEastAsia" w:eastAsiaTheme="majorEastAsia" w:cstheme="majorEastAsia"/>
          <w:b/>
          <w:snapToGrid w:val="0"/>
          <w:sz w:val="36"/>
          <w:szCs w:val="36"/>
        </w:rPr>
      </w:pPr>
    </w:p>
    <w:p w14:paraId="106C8849">
      <w:pPr>
        <w:jc w:val="center"/>
        <w:rPr>
          <w:rFonts w:asciiTheme="majorEastAsia" w:hAnsiTheme="majorEastAsia" w:eastAsiaTheme="majorEastAsia" w:cstheme="majorEastAsia"/>
          <w:b/>
          <w:snapToGrid w:val="0"/>
          <w:sz w:val="36"/>
          <w:szCs w:val="36"/>
        </w:rPr>
      </w:pPr>
    </w:p>
    <w:p w14:paraId="718B64A0">
      <w:pPr>
        <w:jc w:val="center"/>
        <w:rPr>
          <w:rFonts w:asciiTheme="majorEastAsia" w:hAnsiTheme="majorEastAsia" w:eastAsiaTheme="majorEastAsia" w:cstheme="majorEastAsia"/>
          <w:b/>
          <w:snapToGrid w:val="0"/>
          <w:sz w:val="36"/>
          <w:szCs w:val="36"/>
        </w:rPr>
      </w:pPr>
    </w:p>
    <w:p w14:paraId="366989AE">
      <w:pPr>
        <w:jc w:val="center"/>
        <w:rPr>
          <w:rFonts w:asciiTheme="majorEastAsia" w:hAnsiTheme="majorEastAsia" w:eastAsiaTheme="majorEastAsia" w:cstheme="majorEastAsia"/>
          <w:b/>
          <w:snapToGrid w:val="0"/>
          <w:sz w:val="36"/>
          <w:szCs w:val="36"/>
        </w:rPr>
      </w:pPr>
    </w:p>
    <w:p w14:paraId="0C0C223C">
      <w:pPr>
        <w:jc w:val="center"/>
        <w:rPr>
          <w:rFonts w:asciiTheme="majorEastAsia" w:hAnsiTheme="majorEastAsia" w:eastAsiaTheme="majorEastAsia" w:cstheme="majorEastAsia"/>
          <w:b/>
          <w:snapToGrid w:val="0"/>
          <w:sz w:val="36"/>
          <w:szCs w:val="36"/>
        </w:rPr>
      </w:pPr>
    </w:p>
    <w:p w14:paraId="2E0F80C7">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r>
        <w:rPr>
          <w:rFonts w:hint="eastAsia" w:asciiTheme="majorEastAsia" w:hAnsiTheme="majorEastAsia" w:eastAsiaTheme="majorEastAsia" w:cstheme="majorEastAsia"/>
          <w:b/>
          <w:snapToGrid w:val="0"/>
          <w:sz w:val="36"/>
          <w:szCs w:val="36"/>
        </w:rPr>
        <w:t>法人身份证复印件</w:t>
      </w:r>
    </w:p>
    <w:p w14:paraId="350295E2">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14:paraId="5948C58A">
      <w:pPr>
        <w:rPr>
          <w:rFonts w:asciiTheme="majorEastAsia" w:hAnsiTheme="majorEastAsia" w:eastAsiaTheme="majorEastAsia" w:cstheme="majorEastAsia"/>
          <w:snapToGrid w:val="0"/>
        </w:rPr>
      </w:pPr>
    </w:p>
    <w:p w14:paraId="46B616D2">
      <w:pPr>
        <w:jc w:val="center"/>
        <w:rPr>
          <w:rFonts w:asciiTheme="majorEastAsia" w:hAnsiTheme="majorEastAsia" w:eastAsiaTheme="majorEastAsia" w:cstheme="majorEastAsia"/>
          <w:b/>
          <w:snapToGrid w:val="0"/>
          <w:sz w:val="36"/>
          <w:szCs w:val="36"/>
        </w:rPr>
      </w:pPr>
    </w:p>
    <w:p w14:paraId="5F5596FC">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r>
        <w:rPr>
          <w:rFonts w:hint="eastAsia" w:asciiTheme="majorEastAsia" w:hAnsiTheme="majorEastAsia" w:eastAsiaTheme="majorEastAsia" w:cstheme="majorEastAsia"/>
          <w:b/>
          <w:snapToGrid w:val="0"/>
          <w:sz w:val="36"/>
          <w:szCs w:val="36"/>
        </w:rPr>
        <w:t>授权委托书</w:t>
      </w:r>
    </w:p>
    <w:p w14:paraId="39046618">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14:paraId="780AD6E5">
      <w:pPr>
        <w:jc w:val="center"/>
        <w:rPr>
          <w:rFonts w:asciiTheme="majorEastAsia" w:hAnsiTheme="majorEastAsia" w:eastAsiaTheme="majorEastAsia" w:cstheme="majorEastAsia"/>
          <w:b/>
          <w:snapToGrid w:val="0"/>
          <w:sz w:val="36"/>
          <w:szCs w:val="36"/>
        </w:rPr>
      </w:pPr>
    </w:p>
    <w:p w14:paraId="6ABBA0E9">
      <w:pPr>
        <w:jc w:val="center"/>
        <w:rPr>
          <w:rFonts w:asciiTheme="majorEastAsia" w:hAnsiTheme="majorEastAsia" w:eastAsiaTheme="majorEastAsia" w:cstheme="majorEastAsia"/>
          <w:b/>
          <w:snapToGrid w:val="0"/>
          <w:sz w:val="36"/>
          <w:szCs w:val="36"/>
        </w:rPr>
      </w:pPr>
    </w:p>
    <w:p w14:paraId="4B4E46C4">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p>
    <w:p w14:paraId="6A3E8D30">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t>全权代表身份证复印件</w:t>
      </w:r>
    </w:p>
    <w:p w14:paraId="1F51E67A">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14:paraId="01F6ABC4">
      <w:pPr>
        <w:rPr>
          <w:rFonts w:asciiTheme="majorEastAsia" w:hAnsiTheme="majorEastAsia" w:eastAsiaTheme="majorEastAsia" w:cstheme="majorEastAsia"/>
          <w:snapToGrid w:val="0"/>
        </w:rPr>
      </w:pPr>
    </w:p>
    <w:p w14:paraId="39239803">
      <w:pPr>
        <w:rPr>
          <w:rFonts w:asciiTheme="majorEastAsia" w:hAnsiTheme="majorEastAsia" w:eastAsiaTheme="majorEastAsia" w:cstheme="majorEastAsia"/>
        </w:rPr>
      </w:pPr>
    </w:p>
    <w:p w14:paraId="41F56812">
      <w:pPr>
        <w:rPr>
          <w:rFonts w:asciiTheme="majorEastAsia" w:hAnsiTheme="majorEastAsia" w:eastAsiaTheme="majorEastAsia" w:cstheme="majorEastAsia"/>
        </w:rPr>
      </w:pPr>
    </w:p>
    <w:p w14:paraId="3D1827EA">
      <w:pPr>
        <w:rPr>
          <w:rFonts w:asciiTheme="majorEastAsia" w:hAnsiTheme="majorEastAsia" w:eastAsiaTheme="majorEastAsia" w:cstheme="majorEastAsia"/>
          <w:b/>
          <w:snapToGrid w:val="0"/>
          <w:szCs w:val="24"/>
        </w:rPr>
      </w:pPr>
    </w:p>
    <w:p w14:paraId="095E5BF6">
      <w:pPr>
        <w:rPr>
          <w:rFonts w:asciiTheme="majorEastAsia" w:hAnsiTheme="majorEastAsia" w:eastAsiaTheme="majorEastAsia" w:cstheme="majorEastAsia"/>
          <w:b/>
          <w:snapToGrid w:val="0"/>
          <w:szCs w:val="24"/>
        </w:rPr>
      </w:pPr>
    </w:p>
    <w:p w14:paraId="4F25D316">
      <w:pPr>
        <w:rPr>
          <w:rFonts w:asciiTheme="majorEastAsia" w:hAnsiTheme="majorEastAsia" w:eastAsiaTheme="majorEastAsia" w:cstheme="majorEastAsia"/>
          <w:b/>
          <w:snapToGrid w:val="0"/>
          <w:szCs w:val="24"/>
        </w:rPr>
      </w:pPr>
    </w:p>
    <w:p w14:paraId="14540808">
      <w:pPr>
        <w:rPr>
          <w:rFonts w:asciiTheme="majorEastAsia" w:hAnsiTheme="majorEastAsia" w:eastAsiaTheme="majorEastAsia" w:cstheme="majorEastAsia"/>
          <w:b/>
          <w:snapToGrid w:val="0"/>
          <w:szCs w:val="24"/>
        </w:rPr>
      </w:pPr>
    </w:p>
    <w:p w14:paraId="1F9E47E3">
      <w:pPr>
        <w:rPr>
          <w:rFonts w:asciiTheme="majorEastAsia" w:hAnsiTheme="majorEastAsia" w:eastAsiaTheme="majorEastAsia" w:cstheme="majorEastAsia"/>
          <w:b/>
          <w:snapToGrid w:val="0"/>
          <w:szCs w:val="24"/>
        </w:rPr>
      </w:pPr>
    </w:p>
    <w:p w14:paraId="7DC27509">
      <w:pPr>
        <w:rPr>
          <w:rFonts w:asciiTheme="majorEastAsia" w:hAnsiTheme="majorEastAsia" w:eastAsiaTheme="majorEastAsia" w:cstheme="majorEastAsia"/>
          <w:b/>
          <w:snapToGrid w:val="0"/>
          <w:szCs w:val="24"/>
        </w:rPr>
      </w:pPr>
    </w:p>
    <w:p w14:paraId="43DA9BD5">
      <w:pPr>
        <w:rPr>
          <w:rFonts w:asciiTheme="majorEastAsia" w:hAnsiTheme="majorEastAsia" w:eastAsiaTheme="majorEastAsia" w:cstheme="majorEastAsia"/>
          <w:b/>
          <w:snapToGrid w:val="0"/>
          <w:szCs w:val="24"/>
        </w:rPr>
      </w:pPr>
    </w:p>
    <w:p w14:paraId="072D096A">
      <w:pPr>
        <w:rPr>
          <w:rFonts w:asciiTheme="majorEastAsia" w:hAnsiTheme="majorEastAsia" w:eastAsiaTheme="majorEastAsia" w:cstheme="majorEastAsia"/>
          <w:b/>
          <w:snapToGrid w:val="0"/>
          <w:szCs w:val="24"/>
        </w:rPr>
      </w:pPr>
    </w:p>
    <w:p w14:paraId="689E0EF9">
      <w:pPr>
        <w:rPr>
          <w:rFonts w:asciiTheme="majorEastAsia" w:hAnsiTheme="majorEastAsia" w:eastAsiaTheme="majorEastAsia" w:cstheme="majorEastAsia"/>
          <w:b/>
          <w:snapToGrid w:val="0"/>
          <w:szCs w:val="24"/>
        </w:rPr>
      </w:pPr>
    </w:p>
    <w:p w14:paraId="6A0FC362">
      <w:pPr>
        <w:rPr>
          <w:rFonts w:asciiTheme="majorEastAsia" w:hAnsiTheme="majorEastAsia" w:eastAsiaTheme="majorEastAsia" w:cstheme="majorEastAsia"/>
          <w:b/>
          <w:snapToGrid w:val="0"/>
          <w:szCs w:val="24"/>
        </w:rPr>
      </w:pPr>
    </w:p>
    <w:p w14:paraId="7B661DEF">
      <w:pPr>
        <w:rPr>
          <w:rFonts w:asciiTheme="majorEastAsia" w:hAnsiTheme="majorEastAsia" w:eastAsiaTheme="majorEastAsia" w:cstheme="majorEastAsia"/>
          <w:b/>
          <w:snapToGrid w:val="0"/>
          <w:szCs w:val="24"/>
        </w:rPr>
      </w:pPr>
    </w:p>
    <w:p w14:paraId="71859608">
      <w:pPr>
        <w:rPr>
          <w:rFonts w:asciiTheme="majorEastAsia" w:hAnsiTheme="majorEastAsia" w:eastAsiaTheme="majorEastAsia" w:cstheme="majorEastAsia"/>
          <w:b/>
          <w:snapToGrid w:val="0"/>
          <w:szCs w:val="24"/>
        </w:rPr>
      </w:pPr>
    </w:p>
    <w:p w14:paraId="55D549B4">
      <w:pPr>
        <w:rPr>
          <w:rFonts w:asciiTheme="majorEastAsia" w:hAnsiTheme="majorEastAsia" w:eastAsiaTheme="majorEastAsia" w:cstheme="majorEastAsia"/>
          <w:b/>
          <w:snapToGrid w:val="0"/>
          <w:szCs w:val="24"/>
        </w:rPr>
      </w:pPr>
    </w:p>
    <w:p w14:paraId="5F63F4F2">
      <w:pPr>
        <w:rPr>
          <w:rFonts w:asciiTheme="majorEastAsia" w:hAnsiTheme="majorEastAsia" w:eastAsiaTheme="majorEastAsia" w:cstheme="majorEastAsia"/>
          <w:b/>
          <w:snapToGrid w:val="0"/>
          <w:szCs w:val="24"/>
        </w:rPr>
      </w:pPr>
    </w:p>
    <w:p w14:paraId="2F306375">
      <w:pPr>
        <w:rPr>
          <w:rFonts w:asciiTheme="majorEastAsia" w:hAnsiTheme="majorEastAsia" w:eastAsiaTheme="majorEastAsia" w:cstheme="majorEastAsia"/>
          <w:b/>
          <w:snapToGrid w:val="0"/>
          <w:szCs w:val="24"/>
        </w:rPr>
      </w:pPr>
    </w:p>
    <w:p w14:paraId="4AE6DB5B">
      <w:pPr>
        <w:pageBreakBefore/>
        <w:spacing w:line="360" w:lineRule="auto"/>
        <w:ind w:right="482"/>
        <w:jc w:val="center"/>
        <w:outlineLvl w:val="1"/>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四川省</w:t>
      </w: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南宝山服饰有限公司劳动能力等级鉴定和伤残程度评定（第二次）</w:t>
      </w:r>
      <w:r>
        <w:rPr>
          <w:rFonts w:hint="eastAsia" w:asciiTheme="majorEastAsia" w:hAnsiTheme="majorEastAsia" w:eastAsiaTheme="majorEastAsia" w:cstheme="majorEastAsia"/>
          <w:b/>
          <w:color w:val="000000" w:themeColor="text1"/>
          <w:sz w:val="32"/>
          <w:szCs w:val="32"/>
          <w14:textFill>
            <w14:solidFill>
              <w14:schemeClr w14:val="tx1"/>
            </w14:solidFill>
          </w14:textFill>
        </w:rPr>
        <w:t>采购项目最</w:t>
      </w: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终</w:t>
      </w:r>
      <w:r>
        <w:rPr>
          <w:rFonts w:hint="eastAsia" w:asciiTheme="majorEastAsia" w:hAnsiTheme="majorEastAsia" w:eastAsiaTheme="majorEastAsia" w:cstheme="majorEastAsia"/>
          <w:b/>
          <w:color w:val="000000" w:themeColor="text1"/>
          <w:sz w:val="32"/>
          <w:szCs w:val="32"/>
          <w14:textFill>
            <w14:solidFill>
              <w14:schemeClr w14:val="tx1"/>
            </w14:solidFill>
          </w14:textFill>
        </w:rPr>
        <w:t>报价表</w:t>
      </w:r>
    </w:p>
    <w:tbl>
      <w:tblPr>
        <w:tblStyle w:val="1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7297"/>
      </w:tblGrid>
      <w:tr w14:paraId="141C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347" w:type="dxa"/>
            <w:noWrap/>
            <w:vAlign w:val="center"/>
          </w:tcPr>
          <w:p w14:paraId="519357D7">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采购项目名称</w:t>
            </w:r>
          </w:p>
        </w:tc>
        <w:tc>
          <w:tcPr>
            <w:tcW w:w="7297" w:type="dxa"/>
            <w:noWrap/>
            <w:vAlign w:val="bottom"/>
          </w:tcPr>
          <w:p w14:paraId="0454941D">
            <w:pPr>
              <w:snapToGrid w:val="0"/>
              <w:spacing w:line="276" w:lineRule="auto"/>
              <w:ind w:right="14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rPr>
              <w:t>四川省</w:t>
            </w:r>
            <w:r>
              <w:rPr>
                <w:rFonts w:hint="eastAsia" w:asciiTheme="majorEastAsia" w:hAnsiTheme="majorEastAsia" w:eastAsiaTheme="majorEastAsia" w:cstheme="majorEastAsia"/>
                <w:lang w:eastAsia="zh-CN"/>
              </w:rPr>
              <w:t>南宝山服饰有限公司劳动能力鉴定和伤残程度评定</w:t>
            </w:r>
            <w:r>
              <w:rPr>
                <w:rFonts w:hint="eastAsia" w:asciiTheme="majorEastAsia" w:hAnsiTheme="majorEastAsia" w:eastAsiaTheme="majorEastAsia" w:cstheme="majorEastAsia"/>
              </w:rPr>
              <w:t>采购项目</w:t>
            </w:r>
          </w:p>
        </w:tc>
      </w:tr>
      <w:tr w14:paraId="4967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347" w:type="dxa"/>
            <w:vMerge w:val="restart"/>
            <w:noWrap/>
            <w:vAlign w:val="center"/>
          </w:tcPr>
          <w:p w14:paraId="1A71BD65">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最终报价为</w:t>
            </w:r>
          </w:p>
        </w:tc>
        <w:tc>
          <w:tcPr>
            <w:tcW w:w="7297" w:type="dxa"/>
            <w:noWrap/>
            <w:vAlign w:val="center"/>
          </w:tcPr>
          <w:p w14:paraId="13B89A5C">
            <w:pPr>
              <w:snapToGrid w:val="0"/>
              <w:spacing w:line="276" w:lineRule="auto"/>
              <w:jc w:val="both"/>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劳动能力等级鉴定：</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元</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/例</w:t>
            </w:r>
            <w:r>
              <w:rPr>
                <w:rFonts w:hint="eastAsia" w:asciiTheme="majorEastAsia" w:hAnsiTheme="majorEastAsia" w:eastAsiaTheme="majorEastAsia" w:cstheme="majorEastAsia"/>
                <w:color w:val="000000" w:themeColor="text1"/>
                <w14:textFill>
                  <w14:solidFill>
                    <w14:schemeClr w14:val="tx1"/>
                  </w14:solidFill>
                </w14:textFill>
              </w:rPr>
              <w:t>（大写</w:t>
            </w:r>
            <w:r>
              <w:rPr>
                <w:rFonts w:hint="eastAsia" w:asciiTheme="majorEastAsia" w:hAnsiTheme="majorEastAsia" w:eastAsiaTheme="majorEastAsia" w:cstheme="majorEastAsia"/>
                <w:color w:val="000000" w:themeColor="text1"/>
                <w:lang w:eastAsia="zh-CN"/>
                <w14:textFill>
                  <w14:solidFill>
                    <w14:schemeClr w14:val="tx1"/>
                  </w14:solidFill>
                </w14:textFill>
              </w:rPr>
              <w:t>：</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w:t>
            </w:r>
          </w:p>
        </w:tc>
      </w:tr>
      <w:tr w14:paraId="63A8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347" w:type="dxa"/>
            <w:vMerge w:val="continue"/>
            <w:noWrap/>
            <w:vAlign w:val="center"/>
          </w:tcPr>
          <w:p w14:paraId="4E66C20B">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p>
        </w:tc>
        <w:tc>
          <w:tcPr>
            <w:tcW w:w="7297" w:type="dxa"/>
            <w:noWrap/>
            <w:vAlign w:val="center"/>
          </w:tcPr>
          <w:p w14:paraId="2FBA2224">
            <w:pPr>
              <w:wordWrap w:val="0"/>
              <w:snapToGrid w:val="0"/>
              <w:spacing w:line="276" w:lineRule="auto"/>
              <w:jc w:val="both"/>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伤残程度评定：</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元</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/例</w:t>
            </w:r>
            <w:r>
              <w:rPr>
                <w:rFonts w:hint="eastAsia" w:asciiTheme="majorEastAsia" w:hAnsiTheme="majorEastAsia" w:eastAsiaTheme="majorEastAsia" w:cstheme="majorEastAsia"/>
                <w:color w:val="000000" w:themeColor="text1"/>
                <w14:textFill>
                  <w14:solidFill>
                    <w14:schemeClr w14:val="tx1"/>
                  </w14:solidFill>
                </w14:textFill>
              </w:rPr>
              <w:t>（小写</w:t>
            </w:r>
            <w:r>
              <w:rPr>
                <w:rFonts w:hint="eastAsia" w:asciiTheme="majorEastAsia" w:hAnsiTheme="majorEastAsia" w:eastAsiaTheme="majorEastAsia" w:cstheme="majorEastAsia"/>
                <w:color w:val="000000" w:themeColor="text1"/>
                <w:lang w:eastAsia="zh-CN"/>
                <w14:textFill>
                  <w14:solidFill>
                    <w14:schemeClr w14:val="tx1"/>
                  </w14:solidFill>
                </w14:textFill>
              </w:rPr>
              <w:t>：</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14:textFill>
                  <w14:solidFill>
                    <w14:schemeClr w14:val="tx1"/>
                  </w14:solidFill>
                </w14:textFill>
              </w:rPr>
              <w:t>）</w:t>
            </w:r>
          </w:p>
        </w:tc>
      </w:tr>
      <w:tr w14:paraId="6E92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347" w:type="dxa"/>
            <w:noWrap/>
            <w:vAlign w:val="center"/>
          </w:tcPr>
          <w:p w14:paraId="4A820FF4">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备注</w:t>
            </w:r>
          </w:p>
        </w:tc>
        <w:tc>
          <w:tcPr>
            <w:tcW w:w="7297" w:type="dxa"/>
            <w:noWrap/>
            <w:vAlign w:val="center"/>
          </w:tcPr>
          <w:p w14:paraId="5F44EB0D">
            <w:pPr>
              <w:snapToGrid w:val="0"/>
              <w:spacing w:line="276" w:lineRule="auto"/>
              <w:rPr>
                <w:rFonts w:hint="default"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三年总费用不超过</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45000.00元，根据实际鉴定人数结算</w:t>
            </w:r>
          </w:p>
        </w:tc>
      </w:tr>
    </w:tbl>
    <w:p w14:paraId="6BEC337C">
      <w:pPr>
        <w:rPr>
          <w:rFonts w:asciiTheme="majorEastAsia" w:hAnsiTheme="majorEastAsia" w:eastAsiaTheme="majorEastAsia" w:cstheme="majorEastAsia"/>
          <w:color w:val="000000" w:themeColor="text1"/>
          <w14:textFill>
            <w14:solidFill>
              <w14:schemeClr w14:val="tx1"/>
            </w14:solidFill>
          </w14:textFill>
        </w:rPr>
      </w:pPr>
    </w:p>
    <w:p w14:paraId="5FDE3A98">
      <w:pPr>
        <w:spacing w:line="360" w:lineRule="auto"/>
        <w:ind w:firstLine="56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供应商名称：</w:t>
      </w:r>
    </w:p>
    <w:p w14:paraId="39C739F8">
      <w:pPr>
        <w:pStyle w:val="20"/>
        <w:rPr>
          <w:rFonts w:asciiTheme="majorEastAsia" w:hAnsiTheme="majorEastAsia" w:eastAsiaTheme="majorEastAsia" w:cstheme="majorEastAsia"/>
          <w:color w:val="000000" w:themeColor="text1"/>
          <w:kern w:val="0"/>
          <w:sz w:val="24"/>
          <w:szCs w:val="24"/>
          <w:u w:val="single"/>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法定代表人/单位负责人或授权代表（签字或加盖个人印章）</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w:t>
      </w:r>
    </w:p>
    <w:p w14:paraId="63951A07">
      <w:pPr>
        <w:pStyle w:val="20"/>
        <w:snapToGrid w:val="0"/>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日期：</w:t>
      </w:r>
    </w:p>
    <w:p w14:paraId="3ACF49CE">
      <w:pPr>
        <w:pStyle w:val="20"/>
        <w:snapToGrid w:val="0"/>
        <w:spacing w:line="276" w:lineRule="auto"/>
        <w:ind w:firstLine="551"/>
        <w:rPr>
          <w:rFonts w:asciiTheme="majorEastAsia" w:hAnsiTheme="majorEastAsia" w:eastAsiaTheme="majorEastAsia" w:cstheme="majorEastAsia"/>
          <w:color w:val="000000" w:themeColor="text1"/>
          <w:kern w:val="0"/>
          <w:sz w:val="24"/>
          <w:szCs w:val="24"/>
          <w14:textFill>
            <w14:solidFill>
              <w14:schemeClr w14:val="tx1"/>
            </w14:solidFill>
          </w14:textFill>
        </w:rPr>
      </w:pPr>
    </w:p>
    <w:p w14:paraId="0BFD7996">
      <w:pPr>
        <w:pStyle w:val="20"/>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w:t>
      </w:r>
    </w:p>
    <w:p w14:paraId="79E448EF">
      <w:pPr>
        <w:pStyle w:val="20"/>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1、总报价应是完成</w:t>
      </w:r>
      <w:r>
        <w:rPr>
          <w:rFonts w:hint="eastAsia" w:asciiTheme="majorEastAsia" w:hAnsiTheme="majorEastAsia" w:eastAsiaTheme="majorEastAsia" w:cstheme="majorEastAsia"/>
          <w:color w:val="000000" w:themeColor="text1"/>
          <w:sz w:val="24"/>
          <w14:textFill>
            <w14:solidFill>
              <w14:schemeClr w14:val="tx1"/>
            </w14:solidFill>
          </w14:textFill>
        </w:rPr>
        <w:t>本项目及谈判</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文件中所要求的全部内容的最终价格。</w:t>
      </w:r>
    </w:p>
    <w:p w14:paraId="43BC5CA0">
      <w:pPr>
        <w:pStyle w:val="20"/>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p>
    <w:p w14:paraId="247CE71F">
      <w:pPr>
        <w:pStyle w:val="20"/>
        <w:snapToGrid w:val="0"/>
        <w:spacing w:line="276"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2、谈判结束时，采购人现场工作人员向通符合本次采购要求的被邀请供应商发放 “</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最终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报价表”，经供应商法定代表人</w:t>
      </w:r>
      <w:r>
        <w:rPr>
          <w:rFonts w:hint="eastAsia" w:asciiTheme="majorEastAsia" w:hAnsiTheme="majorEastAsia" w:eastAsiaTheme="majorEastAsia" w:cstheme="majorEastAsia"/>
          <w:color w:val="000000" w:themeColor="text1"/>
          <w:sz w:val="24"/>
          <w14:textFill>
            <w14:solidFill>
              <w14:schemeClr w14:val="tx1"/>
            </w14:solidFill>
          </w14:textFill>
        </w:rPr>
        <w:t>/单位负责人</w:t>
      </w:r>
      <w:r>
        <w:rPr>
          <w:rFonts w:hint="eastAsia" w:asciiTheme="majorEastAsia" w:hAnsiTheme="majorEastAsia" w:eastAsiaTheme="majorEastAsia" w:cstheme="majorEastAsia"/>
          <w:color w:val="000000" w:themeColor="text1"/>
          <w:sz w:val="24"/>
          <w:szCs w:val="24"/>
          <w14:textFill>
            <w14:solidFill>
              <w14:schemeClr w14:val="tx1"/>
            </w14:solidFill>
          </w14:textFill>
        </w:rPr>
        <w:t>或代理人按要求填写</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最终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报价后递交给采购人现场工作人员，由其收集齐后集中递交评审小组。供应商在响应文件中提交此表的，不影响其响应文件的有效性，其最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报价以谈判结束后提交的“最</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终</w:t>
      </w:r>
      <w:r>
        <w:rPr>
          <w:rFonts w:hint="eastAsia" w:asciiTheme="majorEastAsia" w:hAnsiTheme="majorEastAsia" w:eastAsiaTheme="majorEastAsia" w:cstheme="majorEastAsia"/>
          <w:color w:val="000000" w:themeColor="text1"/>
          <w:sz w:val="24"/>
          <w:szCs w:val="24"/>
          <w14:textFill>
            <w14:solidFill>
              <w14:schemeClr w14:val="tx1"/>
            </w14:solidFill>
          </w14:textFill>
        </w:rPr>
        <w:t>报价表”为准。</w:t>
      </w:r>
    </w:p>
    <w:p w14:paraId="208830B4">
      <w:pPr>
        <w:pStyle w:val="21"/>
        <w:ind w:firstLine="0" w:firstLineChars="0"/>
        <w:rPr>
          <w:rFonts w:asciiTheme="majorEastAsia" w:hAnsiTheme="majorEastAsia" w:eastAsiaTheme="majorEastAsia" w:cstheme="majorEastAsia"/>
          <w:color w:val="000000" w:themeColor="text1"/>
          <w14:textFill>
            <w14:solidFill>
              <w14:schemeClr w14:val="tx1"/>
            </w14:solidFill>
          </w14:textFill>
        </w:rPr>
      </w:pPr>
    </w:p>
    <w:p w14:paraId="0FB044D1">
      <w:pPr>
        <w:rPr>
          <w:rFonts w:asciiTheme="majorEastAsia" w:hAnsiTheme="majorEastAsia" w:eastAsiaTheme="majorEastAsia" w:cstheme="majorEastAsia"/>
          <w:b/>
          <w:snapToGrid w:val="0"/>
          <w:color w:val="000000" w:themeColor="text1"/>
          <w:szCs w:val="24"/>
          <w14:textFill>
            <w14:solidFill>
              <w14:schemeClr w14:val="tx1"/>
            </w14:solidFill>
          </w14:textFill>
        </w:rPr>
      </w:pPr>
    </w:p>
    <w:p w14:paraId="14D9D9CF">
      <w:pPr>
        <w:spacing w:line="800" w:lineRule="exact"/>
        <w:jc w:val="center"/>
        <w:rPr>
          <w:rFonts w:asciiTheme="majorEastAsia" w:hAnsiTheme="majorEastAsia" w:eastAsiaTheme="majorEastAsia" w:cstheme="majorEastAsia"/>
        </w:rPr>
      </w:pPr>
    </w:p>
    <w:sectPr>
      <w:headerReference r:id="rId5" w:type="default"/>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5988">
    <w:pPr>
      <w:pStyle w:val="7"/>
      <w:jc w:val="both"/>
      <w:rPr>
        <w:sz w:val="21"/>
        <w:u w:val="single"/>
      </w:rPr>
    </w:pPr>
  </w:p>
  <w:p w14:paraId="0CE4C04A">
    <w:pPr>
      <w:pStyle w:val="7"/>
      <w:jc w:val="center"/>
      <w:rPr>
        <w:rFonts w:ascii="黑体" w:eastAsia="黑体"/>
        <w:snapToGrid w:val="0"/>
        <w:spacing w:val="100"/>
        <w:sz w:val="24"/>
      </w:rPr>
    </w:pPr>
    <w:r>
      <w:fldChar w:fldCharType="begin"/>
    </w:r>
    <w:r>
      <w:rPr>
        <w:rStyle w:val="13"/>
      </w:rPr>
      <w:instrText xml:space="preserve"> PAGE </w:instrText>
    </w:r>
    <w:r>
      <w:fldChar w:fldCharType="separate"/>
    </w:r>
    <w:r>
      <w:rPr>
        <w:rStyle w:val="1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BFFB">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14:paraId="63D79AC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EF38">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6</w:t>
    </w:r>
    <w:r>
      <w:fldChar w:fldCharType="end"/>
    </w:r>
  </w:p>
  <w:p w14:paraId="506051C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5AF1">
    <w:pPr>
      <w:pStyle w:val="8"/>
      <w:jc w:val="left"/>
      <w:rPr>
        <w:rFonts w:ascii="楷体" w:eastAsia="楷体"/>
      </w:rPr>
    </w:pPr>
    <w:r>
      <w:rPr>
        <w:rFonts w:hint="eastAsia" w:ascii="黑体" w:eastAsia="黑体"/>
        <w:sz w:val="21"/>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6887">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8D1C3"/>
    <w:multiLevelType w:val="singleLevel"/>
    <w:tmpl w:val="E7F8D1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17"/>
    <w:rsid w:val="000049BE"/>
    <w:rsid w:val="000E6017"/>
    <w:rsid w:val="001C0525"/>
    <w:rsid w:val="001D7131"/>
    <w:rsid w:val="00266191"/>
    <w:rsid w:val="0028638E"/>
    <w:rsid w:val="002A7313"/>
    <w:rsid w:val="003437AF"/>
    <w:rsid w:val="0035313F"/>
    <w:rsid w:val="003672B1"/>
    <w:rsid w:val="003745DB"/>
    <w:rsid w:val="00392C0E"/>
    <w:rsid w:val="00397A00"/>
    <w:rsid w:val="003B7C46"/>
    <w:rsid w:val="00463D2A"/>
    <w:rsid w:val="00682617"/>
    <w:rsid w:val="007319A7"/>
    <w:rsid w:val="00782332"/>
    <w:rsid w:val="0089659B"/>
    <w:rsid w:val="008C765E"/>
    <w:rsid w:val="008E5986"/>
    <w:rsid w:val="0091440F"/>
    <w:rsid w:val="00914B57"/>
    <w:rsid w:val="0095084D"/>
    <w:rsid w:val="00953864"/>
    <w:rsid w:val="00954FEC"/>
    <w:rsid w:val="00960A82"/>
    <w:rsid w:val="009B3AAF"/>
    <w:rsid w:val="009C2F80"/>
    <w:rsid w:val="00A14019"/>
    <w:rsid w:val="00A15C60"/>
    <w:rsid w:val="00A6458E"/>
    <w:rsid w:val="00A70F16"/>
    <w:rsid w:val="00AC6E5C"/>
    <w:rsid w:val="00B32182"/>
    <w:rsid w:val="00BA39E5"/>
    <w:rsid w:val="00BD3130"/>
    <w:rsid w:val="00BE75EF"/>
    <w:rsid w:val="00CA3080"/>
    <w:rsid w:val="00CE2EE5"/>
    <w:rsid w:val="00D30F76"/>
    <w:rsid w:val="00DC58DD"/>
    <w:rsid w:val="00DC7F4D"/>
    <w:rsid w:val="00DE61B5"/>
    <w:rsid w:val="00E64B14"/>
    <w:rsid w:val="00E76C68"/>
    <w:rsid w:val="00ED6DEE"/>
    <w:rsid w:val="00EE7B52"/>
    <w:rsid w:val="00F35130"/>
    <w:rsid w:val="00F36B16"/>
    <w:rsid w:val="00F875BD"/>
    <w:rsid w:val="00FA6A12"/>
    <w:rsid w:val="00FA7BC9"/>
    <w:rsid w:val="00FD57B1"/>
    <w:rsid w:val="020D2A9E"/>
    <w:rsid w:val="04902860"/>
    <w:rsid w:val="08791746"/>
    <w:rsid w:val="0AFF0BF5"/>
    <w:rsid w:val="0C1A2EA7"/>
    <w:rsid w:val="0DA67B72"/>
    <w:rsid w:val="0DBB12A3"/>
    <w:rsid w:val="0DBF732B"/>
    <w:rsid w:val="0EFC7E86"/>
    <w:rsid w:val="135F0704"/>
    <w:rsid w:val="14E413C9"/>
    <w:rsid w:val="15691D48"/>
    <w:rsid w:val="18801B50"/>
    <w:rsid w:val="188040AD"/>
    <w:rsid w:val="18D764CD"/>
    <w:rsid w:val="194D066D"/>
    <w:rsid w:val="1B1851FE"/>
    <w:rsid w:val="1B5A4734"/>
    <w:rsid w:val="1F0643A9"/>
    <w:rsid w:val="20B85F9B"/>
    <w:rsid w:val="23C81428"/>
    <w:rsid w:val="24501FCF"/>
    <w:rsid w:val="2A4A04B8"/>
    <w:rsid w:val="2B4E7433"/>
    <w:rsid w:val="2C0E30CE"/>
    <w:rsid w:val="2F5C136D"/>
    <w:rsid w:val="2F730568"/>
    <w:rsid w:val="31AB0005"/>
    <w:rsid w:val="33275669"/>
    <w:rsid w:val="34380AE5"/>
    <w:rsid w:val="357C060D"/>
    <w:rsid w:val="380B5FF1"/>
    <w:rsid w:val="3ABB2EBC"/>
    <w:rsid w:val="3C4D370E"/>
    <w:rsid w:val="3D6F454D"/>
    <w:rsid w:val="3FCE7F1A"/>
    <w:rsid w:val="44DA6C67"/>
    <w:rsid w:val="467D2CCA"/>
    <w:rsid w:val="48CA2286"/>
    <w:rsid w:val="490A4B4A"/>
    <w:rsid w:val="4C64739B"/>
    <w:rsid w:val="4CDA41F4"/>
    <w:rsid w:val="4D212990"/>
    <w:rsid w:val="4DF15B68"/>
    <w:rsid w:val="4E8A38FE"/>
    <w:rsid w:val="4ED72E2E"/>
    <w:rsid w:val="516B2D01"/>
    <w:rsid w:val="51CB1DED"/>
    <w:rsid w:val="56601766"/>
    <w:rsid w:val="56AD506A"/>
    <w:rsid w:val="59291DA6"/>
    <w:rsid w:val="623544A9"/>
    <w:rsid w:val="62834A0F"/>
    <w:rsid w:val="63424046"/>
    <w:rsid w:val="661D299D"/>
    <w:rsid w:val="6CE26173"/>
    <w:rsid w:val="6D4F79FE"/>
    <w:rsid w:val="6FB42196"/>
    <w:rsid w:val="6FDD1975"/>
    <w:rsid w:val="72775E5B"/>
    <w:rsid w:val="7AF7D594"/>
    <w:rsid w:val="7D1A262D"/>
    <w:rsid w:val="7DF7D1BD"/>
    <w:rsid w:val="7F9B3112"/>
    <w:rsid w:val="8FFF521E"/>
    <w:rsid w:val="EEFFEE4E"/>
    <w:rsid w:val="FBEA5607"/>
    <w:rsid w:val="FDFD59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6"/>
    <w:link w:val="16"/>
    <w:qFormat/>
    <w:uiPriority w:val="0"/>
    <w:pPr>
      <w:spacing w:after="120"/>
    </w:pPr>
  </w:style>
  <w:style w:type="paragraph" w:styleId="6">
    <w:name w:val="Body Text First Indent"/>
    <w:basedOn w:val="5"/>
    <w:qFormat/>
    <w:uiPriority w:val="99"/>
    <w:pPr>
      <w:ind w:firstLine="420" w:firstLineChars="100"/>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9"/>
    <w:qFormat/>
    <w:uiPriority w:val="0"/>
    <w:pPr>
      <w:spacing w:after="120" w:line="480" w:lineRule="auto"/>
    </w:pPr>
  </w:style>
  <w:style w:type="table" w:styleId="11">
    <w:name w:val="Table Grid"/>
    <w:basedOn w:val="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next w:val="15"/>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6">
    <w:name w:val="正文文本 Char"/>
    <w:basedOn w:val="12"/>
    <w:link w:val="5"/>
    <w:qFormat/>
    <w:uiPriority w:val="0"/>
    <w:rPr>
      <w:rFonts w:ascii="Times New Roman" w:hAnsi="Times New Roman" w:eastAsia="宋体" w:cs="Times New Roman"/>
      <w:sz w:val="28"/>
      <w:szCs w:val="28"/>
    </w:rPr>
  </w:style>
  <w:style w:type="character" w:customStyle="1" w:styleId="17">
    <w:name w:val="页脚 Char"/>
    <w:basedOn w:val="12"/>
    <w:link w:val="7"/>
    <w:qFormat/>
    <w:uiPriority w:val="0"/>
    <w:rPr>
      <w:rFonts w:ascii="Times New Roman" w:hAnsi="Times New Roman" w:eastAsia="宋体" w:cs="Times New Roman"/>
      <w:sz w:val="18"/>
      <w:szCs w:val="18"/>
    </w:rPr>
  </w:style>
  <w:style w:type="character" w:customStyle="1" w:styleId="18">
    <w:name w:val="页眉 Char"/>
    <w:basedOn w:val="12"/>
    <w:link w:val="8"/>
    <w:qFormat/>
    <w:uiPriority w:val="0"/>
    <w:rPr>
      <w:rFonts w:ascii="Times New Roman" w:hAnsi="Times New Roman" w:eastAsia="宋体" w:cs="Times New Roman"/>
      <w:sz w:val="18"/>
      <w:szCs w:val="18"/>
    </w:rPr>
  </w:style>
  <w:style w:type="character" w:customStyle="1" w:styleId="19">
    <w:name w:val="正文文本 2 Char"/>
    <w:basedOn w:val="12"/>
    <w:link w:val="9"/>
    <w:qFormat/>
    <w:uiPriority w:val="0"/>
    <w:rPr>
      <w:rFonts w:ascii="Times New Roman" w:hAnsi="Times New Roman" w:eastAsia="宋体" w:cs="Times New Roman"/>
      <w:sz w:val="28"/>
      <w:szCs w:val="28"/>
    </w:rPr>
  </w:style>
  <w:style w:type="paragraph" w:customStyle="1" w:styleId="20">
    <w:name w:val="CD正文"/>
    <w:basedOn w:val="1"/>
    <w:qFormat/>
    <w:uiPriority w:val="0"/>
    <w:pPr>
      <w:spacing w:line="360" w:lineRule="auto"/>
      <w:ind w:firstLine="493"/>
      <w:jc w:val="left"/>
    </w:pPr>
    <w:rPr>
      <w:rFonts w:ascii="Calibri" w:hAnsi="Calibri"/>
      <w:sz w:val="30"/>
    </w:rPr>
  </w:style>
  <w:style w:type="paragraph" w:customStyle="1" w:styleId="21">
    <w:name w:val="！正文"/>
    <w:basedOn w:val="1"/>
    <w:qFormat/>
    <w:uiPriority w:val="0"/>
    <w:pPr>
      <w:spacing w:line="360" w:lineRule="auto"/>
      <w:ind w:firstLine="200" w:firstLineChars="200"/>
      <w:jc w:val="left"/>
    </w:pPr>
    <w:rPr>
      <w:rFonts w:ascii="华文细黑" w:hAnsi="华文细黑" w:eastAsia="华文细黑"/>
      <w:kern w:val="0"/>
      <w:sz w:val="24"/>
      <w:szCs w:val="24"/>
    </w:rPr>
  </w:style>
  <w:style w:type="paragraph" w:styleId="22">
    <w:name w:val="List Paragraph"/>
    <w:basedOn w:val="1"/>
    <w:qFormat/>
    <w:uiPriority w:val="1"/>
    <w:pPr>
      <w:ind w:firstLine="420" w:firstLineChars="200"/>
    </w:pPr>
    <w:rPr>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2196</Words>
  <Characters>2315</Characters>
  <Lines>24</Lines>
  <Paragraphs>6</Paragraphs>
  <TotalTime>12</TotalTime>
  <ScaleCrop>false</ScaleCrop>
  <LinksUpToDate>false</LinksUpToDate>
  <CharactersWithSpaces>2465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2022-08-19T04:32:00Z</dcterms:created>
  <dc:creator>admin</dc:creator>
  <cp:lastModifiedBy>Administrator</cp:lastModifiedBy>
  <cp:lastPrinted>2025-06-06T07:39:00Z</cp:lastPrinted>
  <dcterms:modified xsi:type="dcterms:W3CDTF">2025-09-04T08:32:21Z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44011C6D0591A533780DAD6887CB5E5C</vt:lpwstr>
  </property>
  <property fmtid="{D5CDD505-2E9C-101B-9397-08002B2CF9AE}" pid="4" name="KSOTemplateDocerSaveRecord">
    <vt:lpwstr>eyJoZGlkIjoiOTFlN2JjY2RhYTQ3ZGE1YmI3YTk5MDI0OTVkYzMxOGMifQ==</vt:lpwstr>
  </property>
</Properties>
</file>