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rPr>
      </w:pPr>
    </w:p>
    <w:p>
      <w:pPr>
        <w:jc w:val="center"/>
        <w:rPr>
          <w:rFonts w:ascii="仿宋_GB2312" w:eastAsia="仿宋_GB2312"/>
        </w:rPr>
      </w:pPr>
    </w:p>
    <w:p>
      <w:pPr>
        <w:jc w:val="center"/>
        <w:rPr>
          <w:rFonts w:hint="eastAsia"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竞争性谈判文件</w:t>
      </w:r>
    </w:p>
    <w:p>
      <w:pPr>
        <w:jc w:val="center"/>
        <w:rPr>
          <w:rFonts w:hint="eastAsia" w:asciiTheme="minorEastAsia" w:hAnsiTheme="minorEastAsia" w:eastAsiaTheme="minorEastAsia" w:cstheme="minorEastAsia"/>
          <w:sz w:val="72"/>
          <w:szCs w:val="72"/>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项目名称：四川省邛崃监狱，四川省南宝山服饰有限公司日常定点维修企业采购</w:t>
      </w: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ind w:firstLine="2891" w:firstLineChars="800"/>
        <w:jc w:val="both"/>
        <w:rPr>
          <w:rFonts w:hint="default" w:asciiTheme="minorEastAsia" w:hAnsiTheme="minorEastAsia" w:eastAsiaTheme="minorEastAsia" w:cstheme="minorEastAsia"/>
          <w:b/>
          <w:sz w:val="36"/>
          <w:szCs w:val="36"/>
          <w:lang w:val="en-US" w:eastAsia="zh-CN"/>
        </w:rPr>
      </w:pPr>
      <w:r>
        <w:rPr>
          <w:rFonts w:hint="eastAsia" w:asciiTheme="minorEastAsia" w:hAnsiTheme="minorEastAsia" w:eastAsiaTheme="minorEastAsia" w:cstheme="minorEastAsia"/>
          <w:b/>
          <w:sz w:val="36"/>
          <w:szCs w:val="36"/>
        </w:rPr>
        <w:t>编号：</w:t>
      </w:r>
      <w:r>
        <w:rPr>
          <w:rFonts w:hint="eastAsia" w:asciiTheme="minorEastAsia" w:hAnsiTheme="minorEastAsia" w:eastAsiaTheme="minorEastAsia" w:cstheme="minorEastAsia"/>
          <w:b/>
          <w:sz w:val="36"/>
          <w:szCs w:val="36"/>
          <w:lang w:val="en-US" w:eastAsia="zh-CN"/>
        </w:rPr>
        <w:t>2025-Q045</w:t>
      </w:r>
    </w:p>
    <w:p>
      <w:pPr>
        <w:jc w:val="center"/>
        <w:rPr>
          <w:rFonts w:hint="eastAsia" w:asciiTheme="minorEastAsia" w:hAnsiTheme="minorEastAsia" w:eastAsiaTheme="minorEastAsia" w:cstheme="minorEastAsia"/>
          <w:b/>
          <w:sz w:val="32"/>
          <w:szCs w:val="32"/>
        </w:rPr>
      </w:pPr>
    </w:p>
    <w:p>
      <w:pPr>
        <w:jc w:val="center"/>
        <w:rPr>
          <w:rFonts w:hint="eastAsia" w:asciiTheme="minorEastAsia" w:hAnsiTheme="minorEastAsia" w:eastAsiaTheme="minorEastAsia" w:cstheme="minorEastAsia"/>
          <w:b/>
          <w:sz w:val="32"/>
          <w:szCs w:val="32"/>
        </w:rPr>
      </w:pPr>
    </w:p>
    <w:p>
      <w:pPr>
        <w:jc w:val="center"/>
        <w:rPr>
          <w:rFonts w:hint="eastAsia" w:asciiTheme="minorEastAsia" w:hAnsiTheme="minorEastAsia" w:eastAsiaTheme="minorEastAsia" w:cstheme="minorEastAsia"/>
          <w:b/>
          <w:sz w:val="32"/>
          <w:szCs w:val="32"/>
        </w:rPr>
      </w:pPr>
    </w:p>
    <w:p>
      <w:pPr>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 xml:space="preserve">  四川省邛崃监狱</w:t>
      </w:r>
    </w:p>
    <w:p>
      <w:pPr>
        <w:pStyle w:val="2"/>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四川省南宝山服饰有限公司</w:t>
      </w:r>
    </w:p>
    <w:p>
      <w:pPr>
        <w:ind w:firstLine="3596" w:firstLineChars="995"/>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2025年7月</w:t>
      </w:r>
    </w:p>
    <w:p>
      <w:pPr>
        <w:jc w:val="center"/>
        <w:rPr>
          <w:rFonts w:ascii="仿宋_GB2312" w:hAnsi="宋体" w:eastAsia="仿宋_GB2312"/>
          <w:b/>
          <w:bCs/>
          <w:sz w:val="30"/>
          <w:szCs w:val="30"/>
        </w:rPr>
      </w:pPr>
      <w:r>
        <w:rPr>
          <w:rFonts w:hint="eastAsia" w:asciiTheme="minorEastAsia" w:hAnsiTheme="minorEastAsia" w:eastAsiaTheme="minorEastAsia" w:cstheme="minorEastAsia"/>
          <w:b/>
          <w:color w:val="000000"/>
        </w:rPr>
        <w:br w:type="page"/>
      </w:r>
      <w:r>
        <w:rPr>
          <w:rFonts w:hint="eastAsia" w:ascii="仿宋_GB2312" w:hAnsi="宋体" w:eastAsia="仿宋_GB2312"/>
          <w:b/>
          <w:bCs/>
          <w:sz w:val="30"/>
          <w:szCs w:val="30"/>
        </w:rPr>
        <w:t>第一章  邀请公告</w:t>
      </w:r>
    </w:p>
    <w:p>
      <w:pPr>
        <w:spacing w:beforeLines="50" w:afterLines="50"/>
        <w:ind w:firstLine="420" w:firstLineChars="150"/>
        <w:rPr>
          <w:rFonts w:hint="eastAsia" w:asciiTheme="minorEastAsia" w:hAnsiTheme="minorEastAsia" w:eastAsiaTheme="minorEastAsia" w:cstheme="minorEastAsia"/>
          <w:sz w:val="28"/>
          <w:szCs w:val="28"/>
        </w:rPr>
      </w:pPr>
      <w:bookmarkStart w:id="0" w:name="_Toc227144287"/>
      <w:r>
        <w:rPr>
          <w:rFonts w:hint="eastAsia" w:asciiTheme="minorEastAsia" w:hAnsiTheme="minorEastAsia" w:eastAsiaTheme="minorEastAsia" w:cstheme="minorEastAsia"/>
          <w:sz w:val="28"/>
          <w:szCs w:val="28"/>
        </w:rPr>
        <w:t xml:space="preserve"> 四川省邛崃监狱（四川省南宝山服饰有限公司）根据工作需要，准备对日常定点维修企业采购项目采用竞争性谈判方式进行采购，现诚</w:t>
      </w:r>
      <w:r>
        <w:rPr>
          <w:rFonts w:hint="eastAsia" w:asciiTheme="minorEastAsia" w:hAnsiTheme="minorEastAsia" w:eastAsiaTheme="minorEastAsia" w:cstheme="minorEastAsia"/>
          <w:spacing w:val="8"/>
          <w:sz w:val="28"/>
          <w:szCs w:val="28"/>
        </w:rPr>
        <w:t>邀各公司</w:t>
      </w:r>
      <w:r>
        <w:rPr>
          <w:rFonts w:hint="eastAsia" w:asciiTheme="minorEastAsia" w:hAnsiTheme="minorEastAsia" w:eastAsiaTheme="minorEastAsia" w:cstheme="minorEastAsia"/>
          <w:sz w:val="28"/>
          <w:szCs w:val="28"/>
        </w:rPr>
        <w:t>参加本项目采购事宜。</w:t>
      </w:r>
    </w:p>
    <w:p>
      <w:pPr>
        <w:adjustRightInd w:val="0"/>
        <w:ind w:right="720" w:firstLine="560" w:firstLineChars="200"/>
        <w:textAlignment w:val="baseline"/>
        <w:rPr>
          <w:rFonts w:hint="eastAsia"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sz w:val="28"/>
          <w:szCs w:val="28"/>
        </w:rPr>
        <w:t>一、项目名称：</w:t>
      </w:r>
      <w:r>
        <w:rPr>
          <w:rFonts w:hint="eastAsia" w:asciiTheme="minorEastAsia" w:hAnsiTheme="minorEastAsia" w:eastAsiaTheme="minorEastAsia" w:cstheme="minorEastAsia"/>
          <w:bCs/>
          <w:kern w:val="0"/>
          <w:sz w:val="28"/>
          <w:szCs w:val="28"/>
        </w:rPr>
        <w:t>四川省邛崃监狱</w:t>
      </w:r>
      <w:r>
        <w:rPr>
          <w:rFonts w:hint="eastAsia" w:asciiTheme="minorEastAsia" w:hAnsiTheme="minorEastAsia" w:eastAsiaTheme="minorEastAsia" w:cstheme="minorEastAsia"/>
          <w:bCs/>
          <w:kern w:val="0"/>
          <w:sz w:val="28"/>
          <w:szCs w:val="28"/>
          <w:lang w:eastAsia="zh-CN"/>
        </w:rPr>
        <w:t>，</w:t>
      </w:r>
      <w:r>
        <w:rPr>
          <w:rFonts w:hint="eastAsia" w:asciiTheme="minorEastAsia" w:hAnsiTheme="minorEastAsia" w:eastAsiaTheme="minorEastAsia" w:cstheme="minorEastAsia"/>
          <w:bCs/>
          <w:kern w:val="0"/>
          <w:sz w:val="28"/>
          <w:szCs w:val="28"/>
        </w:rPr>
        <w:t>四川省南宝山服饰有限公司</w:t>
      </w:r>
      <w:r>
        <w:rPr>
          <w:rFonts w:hint="eastAsia" w:asciiTheme="minorEastAsia" w:hAnsiTheme="minorEastAsia" w:eastAsiaTheme="minorEastAsia" w:cstheme="minorEastAsia"/>
          <w:color w:val="000000"/>
          <w:sz w:val="28"/>
          <w:szCs w:val="28"/>
          <w:shd w:val="clear" w:color="auto" w:fill="FFFFFF"/>
        </w:rPr>
        <w:t>日常定点维修企业采购</w:t>
      </w:r>
    </w:p>
    <w:p>
      <w:pPr>
        <w:adjustRightInd w:val="0"/>
        <w:ind w:right="720"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二、招标方式：竞争性谈判</w:t>
      </w:r>
    </w:p>
    <w:p>
      <w:pPr>
        <w:adjustRightInd w:val="0"/>
        <w:ind w:right="720"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三、评选方式：资质符合，优惠比例最高者中选。谈判被邀请人数量：至少邀请4家符合资质的供应商。</w:t>
      </w:r>
    </w:p>
    <w:p>
      <w:pPr>
        <w:ind w:right="72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四、最高限价：优惠比例最高不超过7%，超过为为废标。本次项目为二次报价，以第二次报价为最终报价。</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五</w:t>
      </w:r>
      <w:r>
        <w:rPr>
          <w:rFonts w:hint="eastAsia" w:asciiTheme="minorEastAsia" w:hAnsiTheme="minorEastAsia" w:eastAsiaTheme="minorEastAsia" w:cstheme="minorEastAsia"/>
          <w:sz w:val="28"/>
          <w:szCs w:val="28"/>
        </w:rPr>
        <w:t>、投标资质：</w:t>
      </w:r>
    </w:p>
    <w:p>
      <w:pPr>
        <w:spacing w:line="520" w:lineRule="exact"/>
        <w:ind w:firstLine="56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1、在中华人民共和国境内注册，具有独立承担民事责任能力的企业法人；</w:t>
      </w:r>
    </w:p>
    <w:p>
      <w:pPr>
        <w:pStyle w:val="2"/>
        <w:spacing w:line="520" w:lineRule="exact"/>
      </w:pPr>
      <w:r>
        <w:rPr>
          <w:rFonts w:hint="eastAsia" w:asciiTheme="majorEastAsia" w:hAnsiTheme="majorEastAsia" w:eastAsiaTheme="majorEastAsia" w:cstheme="majorEastAsia"/>
        </w:rPr>
        <w:t xml:space="preserve">    2、</w:t>
      </w:r>
      <w:r>
        <w:rPr>
          <w:rFonts w:hint="eastAsia" w:asciiTheme="minorEastAsia" w:hAnsiTheme="minorEastAsia" w:eastAsiaTheme="minorEastAsia" w:cstheme="minorEastAsia"/>
          <w:sz w:val="28"/>
          <w:szCs w:val="28"/>
        </w:rPr>
        <w:t>具有有效的营业执照、税务登记证等相关证件和相应的资质。</w:t>
      </w:r>
      <w:r>
        <w:rPr>
          <w:rFonts w:hint="eastAsia" w:asciiTheme="majorEastAsia" w:hAnsiTheme="majorEastAsia" w:eastAsiaTheme="majorEastAsia" w:cstheme="majorEastAsia"/>
        </w:rPr>
        <w:t>；</w:t>
      </w:r>
    </w:p>
    <w:p>
      <w:pPr>
        <w:pStyle w:val="2"/>
        <w:widowControl/>
        <w:kinsoku w:val="0"/>
        <w:autoSpaceDE w:val="0"/>
        <w:autoSpaceDN w:val="0"/>
        <w:adjustRightInd w:val="0"/>
        <w:snapToGrid w:val="0"/>
        <w:spacing w:line="520" w:lineRule="exact"/>
        <w:ind w:firstLine="560" w:firstLineChars="200"/>
        <w:textAlignment w:val="baseline"/>
        <w:rPr>
          <w:color w:val="000000"/>
          <w:sz w:val="28"/>
          <w:szCs w:val="28"/>
        </w:rPr>
      </w:pPr>
      <w:r>
        <w:rPr>
          <w:rFonts w:hint="eastAsia"/>
          <w:sz w:val="28"/>
          <w:szCs w:val="28"/>
        </w:rPr>
        <w:t>3、具有履行合同所必须的设备和专业技术能力</w:t>
      </w:r>
      <w:r>
        <w:rPr>
          <w:color w:val="000000"/>
          <w:sz w:val="28"/>
          <w:szCs w:val="28"/>
        </w:rPr>
        <w:t>；</w:t>
      </w:r>
    </w:p>
    <w:p>
      <w:pPr>
        <w:spacing w:line="520" w:lineRule="exact"/>
        <w:ind w:firstLine="560" w:firstLineChars="200"/>
        <w:rPr>
          <w:rFonts w:asciiTheme="majorEastAsia" w:hAnsiTheme="majorEastAsia" w:eastAsiaTheme="majorEastAsia" w:cstheme="majorEastAsia"/>
        </w:rPr>
      </w:pPr>
      <w:r>
        <w:rPr>
          <w:rFonts w:hint="eastAsia" w:asciiTheme="majorEastAsia" w:hAnsiTheme="majorEastAsia" w:eastAsiaTheme="majorEastAsia" w:cstheme="majorEastAsia"/>
          <w:sz w:val="28"/>
          <w:szCs w:val="28"/>
        </w:rPr>
        <w:t>4、</w:t>
      </w:r>
      <w:r>
        <w:rPr>
          <w:rFonts w:asciiTheme="majorEastAsia" w:hAnsiTheme="majorEastAsia" w:eastAsiaTheme="majorEastAsia" w:cstheme="majorEastAsia"/>
        </w:rPr>
        <w:t xml:space="preserve"> 本项目不接受联合体参与报价。</w:t>
      </w:r>
    </w:p>
    <w:p>
      <w:pPr>
        <w:ind w:firstLine="560" w:firstLineChars="200"/>
        <w:rPr>
          <w:rFonts w:hint="eastAsia" w:asciiTheme="minorEastAsia" w:hAnsiTheme="minorEastAsia" w:eastAsiaTheme="minorEastAsia" w:cstheme="minorEastAsia"/>
          <w:b/>
          <w:sz w:val="28"/>
          <w:szCs w:val="28"/>
        </w:rPr>
      </w:pPr>
      <w:r>
        <w:rPr>
          <w:rFonts w:hint="eastAsia" w:asciiTheme="majorEastAsia" w:hAnsiTheme="majorEastAsia" w:eastAsiaTheme="majorEastAsia" w:cstheme="majorEastAsia"/>
        </w:rPr>
        <w:t>5、本项目特定资格要求：</w:t>
      </w:r>
      <w:r>
        <w:rPr>
          <w:rFonts w:hint="eastAsia" w:asciiTheme="minorEastAsia" w:hAnsiTheme="minorEastAsia" w:eastAsiaTheme="minorEastAsia" w:cstheme="minorEastAsia"/>
          <w:b/>
          <w:bCs w:val="0"/>
          <w:sz w:val="28"/>
          <w:szCs w:val="28"/>
        </w:rPr>
        <w:t>建设行政主管部门颁发的建筑工程施工总承包三级及以上资质或营业执照经营范围含有建筑装饰的装修企业。</w:t>
      </w:r>
    </w:p>
    <w:p>
      <w:pPr>
        <w:pStyle w:val="3"/>
        <w:spacing w:line="520" w:lineRule="exact"/>
        <w:ind w:firstLine="560" w:firstLineChars="200"/>
      </w:pPr>
      <w:r>
        <w:rPr>
          <w:rFonts w:hint="eastAsia"/>
        </w:rPr>
        <w:t>6、法律、行政法规规定的其他条件</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六</w:t>
      </w:r>
      <w:r>
        <w:rPr>
          <w:rFonts w:hint="eastAsia" w:asciiTheme="minorEastAsia" w:hAnsiTheme="minorEastAsia" w:eastAsiaTheme="minorEastAsia" w:cstheme="minorEastAsia"/>
          <w:sz w:val="28"/>
          <w:szCs w:val="28"/>
        </w:rPr>
        <w:t>、投标规定：</w:t>
      </w:r>
    </w:p>
    <w:p>
      <w:pPr>
        <w:pStyle w:val="6"/>
        <w:spacing w:line="24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1．谈判当天，授权代表（可由法人代表担任）须</w:t>
      </w:r>
      <w:r>
        <w:rPr>
          <w:rFonts w:hint="eastAsia" w:asciiTheme="minorEastAsia" w:hAnsiTheme="minorEastAsia" w:eastAsiaTheme="minorEastAsia" w:cstheme="minorEastAsia"/>
          <w:b/>
          <w:sz w:val="28"/>
          <w:szCs w:val="28"/>
        </w:rPr>
        <w:t>准时</w:t>
      </w:r>
      <w:r>
        <w:rPr>
          <w:rFonts w:hint="eastAsia" w:asciiTheme="minorEastAsia" w:hAnsiTheme="minorEastAsia" w:eastAsiaTheme="minorEastAsia" w:cstheme="minorEastAsia"/>
          <w:sz w:val="28"/>
          <w:szCs w:val="28"/>
        </w:rPr>
        <w:t>到会，出示身份证原件并签名以示出席，否则，其投标将被拒绝；</w:t>
      </w:r>
    </w:p>
    <w:p>
      <w:pPr>
        <w:pStyle w:val="6"/>
        <w:spacing w:line="240" w:lineRule="auto"/>
        <w:ind w:firstLine="560" w:firstLineChars="200"/>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val="zh-CN"/>
        </w:rPr>
        <w:t>.谈判谈判响应文件份数：正本壹份。</w:t>
      </w:r>
    </w:p>
    <w:p>
      <w:pPr>
        <w:pStyle w:val="6"/>
        <w:spacing w:line="240" w:lineRule="auto"/>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七、谈判公告</w:t>
      </w:r>
    </w:p>
    <w:tbl>
      <w:tblPr>
        <w:tblStyle w:val="7"/>
        <w:tblpPr w:leftFromText="180" w:rightFromText="180" w:vertAnchor="text" w:horzAnchor="page" w:tblpX="1317" w:tblpY="411"/>
        <w:tblOverlap w:val="never"/>
        <w:tblW w:w="964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17"/>
        <w:gridCol w:w="71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517" w:type="dxa"/>
            <w:noWrap/>
            <w:tcMar>
              <w:top w:w="36" w:type="dxa"/>
              <w:left w:w="36" w:type="dxa"/>
              <w:bottom w:w="36" w:type="dxa"/>
              <w:right w:w="22" w:type="dxa"/>
            </w:tcMar>
            <w:vAlign w:val="bottom"/>
          </w:tcPr>
          <w:p>
            <w:pPr>
              <w:widowControl/>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采购项目名称</w:t>
            </w:r>
          </w:p>
        </w:tc>
        <w:tc>
          <w:tcPr>
            <w:tcW w:w="7123" w:type="dxa"/>
            <w:noWrap/>
            <w:tcMar>
              <w:top w:w="36" w:type="dxa"/>
              <w:left w:w="36" w:type="dxa"/>
              <w:bottom w:w="36" w:type="dxa"/>
              <w:right w:w="36" w:type="dxa"/>
            </w:tcMar>
            <w:vAlign w:val="bottom"/>
          </w:tcPr>
          <w:p>
            <w:pPr>
              <w:adjustRightInd w:val="0"/>
              <w:spacing w:line="520" w:lineRule="exact"/>
              <w:ind w:right="72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kern w:val="0"/>
                <w:sz w:val="28"/>
                <w:szCs w:val="28"/>
              </w:rPr>
              <w:t>四川省邛崃监狱</w:t>
            </w:r>
            <w:r>
              <w:rPr>
                <w:rFonts w:hint="eastAsia" w:asciiTheme="minorEastAsia" w:hAnsiTheme="minorEastAsia" w:eastAsiaTheme="minorEastAsia" w:cstheme="minorEastAsia"/>
                <w:bCs/>
                <w:kern w:val="0"/>
                <w:sz w:val="28"/>
                <w:szCs w:val="28"/>
                <w:lang w:eastAsia="zh-CN"/>
              </w:rPr>
              <w:t>，</w:t>
            </w:r>
            <w:r>
              <w:rPr>
                <w:rFonts w:hint="eastAsia" w:asciiTheme="minorEastAsia" w:hAnsiTheme="minorEastAsia" w:eastAsiaTheme="minorEastAsia" w:cstheme="minorEastAsia"/>
                <w:bCs/>
                <w:kern w:val="0"/>
                <w:sz w:val="28"/>
                <w:szCs w:val="28"/>
              </w:rPr>
              <w:t>四川省南宝山服饰有限公司</w:t>
            </w:r>
            <w:r>
              <w:rPr>
                <w:rFonts w:hint="eastAsia" w:asciiTheme="minorEastAsia" w:hAnsiTheme="minorEastAsia" w:eastAsiaTheme="minorEastAsia" w:cstheme="minorEastAsia"/>
                <w:color w:val="000000"/>
                <w:sz w:val="28"/>
                <w:szCs w:val="28"/>
                <w:shd w:val="clear" w:color="auto" w:fill="FFFFFF"/>
              </w:rPr>
              <w:t>日常定点维修企业采购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517" w:type="dxa"/>
            <w:noWrap/>
            <w:tcMar>
              <w:top w:w="36" w:type="dxa"/>
              <w:left w:w="36" w:type="dxa"/>
              <w:bottom w:w="36" w:type="dxa"/>
              <w:right w:w="22" w:type="dxa"/>
            </w:tcMar>
            <w:vAlign w:val="bottom"/>
          </w:tcPr>
          <w:p>
            <w:pPr>
              <w:widowControl/>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采购单位</w:t>
            </w:r>
          </w:p>
        </w:tc>
        <w:tc>
          <w:tcPr>
            <w:tcW w:w="7123" w:type="dxa"/>
            <w:noWrap/>
            <w:tcMar>
              <w:top w:w="36" w:type="dxa"/>
              <w:left w:w="36" w:type="dxa"/>
              <w:bottom w:w="36" w:type="dxa"/>
              <w:right w:w="36" w:type="dxa"/>
            </w:tcMar>
            <w:vAlign w:val="bottom"/>
          </w:tcPr>
          <w:p>
            <w:pPr>
              <w:widowControl/>
              <w:spacing w:line="520" w:lineRule="exact"/>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四川省邛崃监狱、四川省南宝山服饰有限公司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517" w:type="dxa"/>
            <w:noWrap/>
            <w:tcMar>
              <w:top w:w="36" w:type="dxa"/>
              <w:left w:w="36" w:type="dxa"/>
              <w:bottom w:w="36" w:type="dxa"/>
              <w:right w:w="22" w:type="dxa"/>
            </w:tcMar>
            <w:vAlign w:val="bottom"/>
          </w:tcPr>
          <w:p>
            <w:pPr>
              <w:widowControl/>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获取谈判文件时间</w:t>
            </w:r>
          </w:p>
        </w:tc>
        <w:tc>
          <w:tcPr>
            <w:tcW w:w="7123" w:type="dxa"/>
            <w:noWrap/>
            <w:tcMar>
              <w:top w:w="36" w:type="dxa"/>
              <w:left w:w="36" w:type="dxa"/>
              <w:bottom w:w="36" w:type="dxa"/>
              <w:right w:w="36" w:type="dxa"/>
            </w:tcMar>
            <w:vAlign w:val="bottom"/>
          </w:tcPr>
          <w:p>
            <w:pPr>
              <w:widowControl/>
              <w:spacing w:line="520" w:lineRule="exact"/>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2025年7月</w:t>
            </w:r>
            <w:r>
              <w:rPr>
                <w:rFonts w:hint="eastAsia" w:asciiTheme="minorEastAsia" w:hAnsiTheme="minorEastAsia" w:eastAsiaTheme="minorEastAsia" w:cstheme="minorEastAsia"/>
                <w:bCs/>
                <w:sz w:val="28"/>
                <w:szCs w:val="28"/>
                <w:lang w:val="en-US" w:eastAsia="zh-CN"/>
              </w:rPr>
              <w:t>14</w:t>
            </w:r>
            <w:r>
              <w:rPr>
                <w:rFonts w:hint="eastAsia" w:asciiTheme="minorEastAsia" w:hAnsiTheme="minorEastAsia" w:eastAsiaTheme="minorEastAsia" w:cstheme="minorEastAsia"/>
                <w:bCs/>
                <w:sz w:val="28"/>
                <w:szCs w:val="28"/>
              </w:rPr>
              <w:t>日 9:00至2025年7月</w:t>
            </w:r>
            <w:r>
              <w:rPr>
                <w:rFonts w:hint="eastAsia" w:asciiTheme="minorEastAsia" w:hAnsiTheme="minorEastAsia" w:eastAsiaTheme="minorEastAsia" w:cstheme="minorEastAsia"/>
                <w:bCs/>
                <w:sz w:val="28"/>
                <w:szCs w:val="28"/>
                <w:lang w:val="en-US" w:eastAsia="zh-CN"/>
              </w:rPr>
              <w:t>16</w:t>
            </w:r>
            <w:r>
              <w:rPr>
                <w:rFonts w:hint="eastAsia" w:asciiTheme="minorEastAsia" w:hAnsiTheme="minorEastAsia" w:eastAsiaTheme="minorEastAsia" w:cstheme="minorEastAsia"/>
                <w:bCs/>
                <w:sz w:val="28"/>
                <w:szCs w:val="28"/>
              </w:rPr>
              <w:t>日 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517" w:type="dxa"/>
            <w:noWrap/>
            <w:tcMar>
              <w:top w:w="36" w:type="dxa"/>
              <w:left w:w="36" w:type="dxa"/>
              <w:bottom w:w="36" w:type="dxa"/>
              <w:right w:w="22" w:type="dxa"/>
            </w:tcMar>
            <w:vAlign w:val="bottom"/>
          </w:tcPr>
          <w:p>
            <w:pPr>
              <w:widowControl/>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获取谈判文件地点</w:t>
            </w:r>
          </w:p>
        </w:tc>
        <w:tc>
          <w:tcPr>
            <w:tcW w:w="7123" w:type="dxa"/>
            <w:noWrap/>
            <w:tcMar>
              <w:top w:w="36" w:type="dxa"/>
              <w:left w:w="36" w:type="dxa"/>
              <w:bottom w:w="36" w:type="dxa"/>
              <w:right w:w="36" w:type="dxa"/>
            </w:tcMar>
            <w:vAlign w:val="bottom"/>
          </w:tcPr>
          <w:p>
            <w:pPr>
              <w:widowControl/>
              <w:spacing w:line="520" w:lineRule="exact"/>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四川省邛崃监狱官网（工作要闻栏目）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517" w:type="dxa"/>
            <w:noWrap/>
            <w:tcMar>
              <w:top w:w="36" w:type="dxa"/>
              <w:left w:w="36" w:type="dxa"/>
              <w:bottom w:w="36" w:type="dxa"/>
              <w:right w:w="22" w:type="dxa"/>
            </w:tcMar>
            <w:vAlign w:val="bottom"/>
          </w:tcPr>
          <w:p>
            <w:pPr>
              <w:widowControl/>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响应文件递交地点</w:t>
            </w:r>
          </w:p>
        </w:tc>
        <w:tc>
          <w:tcPr>
            <w:tcW w:w="7123" w:type="dxa"/>
            <w:noWrap/>
            <w:tcMar>
              <w:top w:w="36" w:type="dxa"/>
              <w:left w:w="36" w:type="dxa"/>
              <w:bottom w:w="36" w:type="dxa"/>
              <w:right w:w="36" w:type="dxa"/>
            </w:tcMar>
            <w:vAlign w:val="bottom"/>
          </w:tcPr>
          <w:p>
            <w:pPr>
              <w:widowControl/>
              <w:spacing w:line="520" w:lineRule="exact"/>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四川省邛崃监狱生产工作洽谈室（监狱大门门卫室隔壁）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517" w:type="dxa"/>
            <w:noWrap/>
            <w:tcMar>
              <w:top w:w="36" w:type="dxa"/>
              <w:left w:w="36" w:type="dxa"/>
              <w:bottom w:w="36" w:type="dxa"/>
              <w:right w:w="22" w:type="dxa"/>
            </w:tcMar>
            <w:vAlign w:val="bottom"/>
          </w:tcPr>
          <w:p>
            <w:pPr>
              <w:widowControl/>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响应文件开启时间</w:t>
            </w:r>
          </w:p>
        </w:tc>
        <w:tc>
          <w:tcPr>
            <w:tcW w:w="7123" w:type="dxa"/>
            <w:noWrap/>
            <w:tcMar>
              <w:top w:w="36" w:type="dxa"/>
              <w:left w:w="36" w:type="dxa"/>
              <w:bottom w:w="36" w:type="dxa"/>
              <w:right w:w="36" w:type="dxa"/>
            </w:tcMar>
            <w:vAlign w:val="bottom"/>
          </w:tcPr>
          <w:p>
            <w:pPr>
              <w:widowControl/>
              <w:spacing w:line="520" w:lineRule="exact"/>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2025年7月</w:t>
            </w:r>
            <w:r>
              <w:rPr>
                <w:rFonts w:hint="eastAsia" w:asciiTheme="minorEastAsia" w:hAnsiTheme="minorEastAsia" w:eastAsiaTheme="minorEastAsia" w:cstheme="minorEastAsia"/>
                <w:bCs/>
                <w:sz w:val="28"/>
                <w:szCs w:val="28"/>
                <w:lang w:val="en-US" w:eastAsia="zh-CN"/>
              </w:rPr>
              <w:t>17</w:t>
            </w:r>
            <w:r>
              <w:rPr>
                <w:rFonts w:hint="eastAsia" w:asciiTheme="minorEastAsia" w:hAnsiTheme="minorEastAsia" w:eastAsiaTheme="minorEastAsia" w:cstheme="minorEastAsia"/>
                <w:bCs/>
                <w:sz w:val="28"/>
                <w:szCs w:val="28"/>
              </w:rPr>
              <w:t>日 9:30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517" w:type="dxa"/>
            <w:noWrap/>
            <w:tcMar>
              <w:top w:w="36" w:type="dxa"/>
              <w:left w:w="36" w:type="dxa"/>
              <w:bottom w:w="36" w:type="dxa"/>
              <w:right w:w="22" w:type="dxa"/>
            </w:tcMar>
            <w:vAlign w:val="bottom"/>
          </w:tcPr>
          <w:p>
            <w:pPr>
              <w:widowControl/>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响应文件开启地点</w:t>
            </w:r>
          </w:p>
        </w:tc>
        <w:tc>
          <w:tcPr>
            <w:tcW w:w="7123" w:type="dxa"/>
            <w:noWrap/>
            <w:tcMar>
              <w:top w:w="36" w:type="dxa"/>
              <w:left w:w="36" w:type="dxa"/>
              <w:bottom w:w="36" w:type="dxa"/>
              <w:right w:w="36" w:type="dxa"/>
            </w:tcMar>
            <w:vAlign w:val="bottom"/>
          </w:tcPr>
          <w:p>
            <w:pPr>
              <w:widowControl/>
              <w:spacing w:line="520" w:lineRule="exact"/>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四川省邛崃监狱生产工作洽谈室（监狱大门门卫室隔壁）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9640" w:type="dxa"/>
            <w:gridSpan w:val="2"/>
            <w:noWrap/>
            <w:tcMar>
              <w:top w:w="36" w:type="dxa"/>
              <w:left w:w="36" w:type="dxa"/>
              <w:bottom w:w="36" w:type="dxa"/>
              <w:right w:w="36" w:type="dxa"/>
            </w:tcMar>
            <w:vAlign w:val="bottom"/>
          </w:tcPr>
          <w:p>
            <w:pPr>
              <w:widowControl/>
              <w:spacing w:line="520" w:lineRule="exact"/>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联系人及联系方式：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517" w:type="dxa"/>
            <w:noWrap/>
            <w:tcMar>
              <w:top w:w="36" w:type="dxa"/>
              <w:left w:w="36" w:type="dxa"/>
              <w:bottom w:w="36" w:type="dxa"/>
              <w:right w:w="22" w:type="dxa"/>
            </w:tcMar>
            <w:vAlign w:val="bottom"/>
          </w:tcPr>
          <w:p>
            <w:pPr>
              <w:widowControl/>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项目联系单位</w:t>
            </w:r>
          </w:p>
        </w:tc>
        <w:tc>
          <w:tcPr>
            <w:tcW w:w="7123" w:type="dxa"/>
            <w:noWrap/>
            <w:tcMar>
              <w:top w:w="36" w:type="dxa"/>
              <w:left w:w="36" w:type="dxa"/>
              <w:bottom w:w="36" w:type="dxa"/>
              <w:right w:w="36" w:type="dxa"/>
            </w:tcMar>
            <w:vAlign w:val="bottom"/>
          </w:tcPr>
          <w:p>
            <w:pPr>
              <w:widowControl/>
              <w:spacing w:line="520" w:lineRule="exact"/>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公司办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517" w:type="dxa"/>
            <w:noWrap/>
            <w:tcMar>
              <w:top w:w="36" w:type="dxa"/>
              <w:left w:w="36" w:type="dxa"/>
              <w:bottom w:w="36" w:type="dxa"/>
              <w:right w:w="22" w:type="dxa"/>
            </w:tcMar>
            <w:vAlign w:val="bottom"/>
          </w:tcPr>
          <w:p>
            <w:pPr>
              <w:widowControl/>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项目联系电话</w:t>
            </w:r>
          </w:p>
        </w:tc>
        <w:tc>
          <w:tcPr>
            <w:tcW w:w="7123" w:type="dxa"/>
            <w:noWrap/>
            <w:tcMar>
              <w:top w:w="36" w:type="dxa"/>
              <w:left w:w="36" w:type="dxa"/>
              <w:bottom w:w="36" w:type="dxa"/>
              <w:right w:w="36" w:type="dxa"/>
            </w:tcMar>
            <w:vAlign w:val="bottom"/>
          </w:tcPr>
          <w:p>
            <w:pPr>
              <w:widowControl/>
              <w:spacing w:line="520" w:lineRule="exact"/>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028-88808053，报名邮箱scsqljy88808053@163.com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517" w:type="dxa"/>
            <w:noWrap/>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报名邮箱格式</w:t>
            </w:r>
          </w:p>
        </w:tc>
        <w:tc>
          <w:tcPr>
            <w:tcW w:w="7123" w:type="dxa"/>
            <w:noWrap/>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kern w:val="0"/>
                <w:sz w:val="28"/>
                <w:szCs w:val="28"/>
                <w:lang w:val="en-US" w:eastAsia="zh-CN"/>
              </w:rPr>
              <w:t>项目名称+</w:t>
            </w:r>
            <w:r>
              <w:rPr>
                <w:rFonts w:hint="eastAsia" w:asciiTheme="minorEastAsia" w:hAnsiTheme="minorEastAsia" w:eastAsiaTheme="minorEastAsia" w:cstheme="minorEastAsia"/>
                <w:bCs/>
                <w:kern w:val="0"/>
                <w:sz w:val="28"/>
                <w:szCs w:val="28"/>
              </w:rPr>
              <w:t>报名单位</w:t>
            </w:r>
            <w:r>
              <w:rPr>
                <w:rFonts w:hint="eastAsia" w:asciiTheme="minorEastAsia" w:hAnsiTheme="minorEastAsia" w:eastAsiaTheme="minorEastAsia" w:cstheme="minorEastAsia"/>
                <w:bCs/>
                <w:kern w:val="0"/>
                <w:sz w:val="28"/>
                <w:szCs w:val="28"/>
                <w:lang w:val="en-US" w:eastAsia="zh-CN"/>
              </w:rPr>
              <w:t>全称</w:t>
            </w:r>
            <w:r>
              <w:rPr>
                <w:rFonts w:hint="eastAsia" w:asciiTheme="minorEastAsia" w:hAnsiTheme="minorEastAsia" w:eastAsiaTheme="minorEastAsia" w:cstheme="minorEastAsia"/>
                <w:bCs/>
                <w:kern w:val="0"/>
                <w:sz w:val="28"/>
                <w:szCs w:val="28"/>
              </w:rPr>
              <w:t>+代理人姓名+</w:t>
            </w:r>
            <w:r>
              <w:rPr>
                <w:rFonts w:hint="eastAsia" w:asciiTheme="minorEastAsia" w:hAnsiTheme="minorEastAsia" w:eastAsiaTheme="minorEastAsia" w:cstheme="minorEastAsia"/>
                <w:bCs/>
                <w:kern w:val="0"/>
                <w:sz w:val="28"/>
                <w:szCs w:val="28"/>
                <w:lang w:val="en-US" w:eastAsia="zh-CN"/>
              </w:rPr>
              <w:t>联系电话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517" w:type="dxa"/>
            <w:noWrap/>
            <w:tcMar>
              <w:top w:w="36" w:type="dxa"/>
              <w:left w:w="36" w:type="dxa"/>
              <w:bottom w:w="36" w:type="dxa"/>
              <w:right w:w="22" w:type="dxa"/>
            </w:tcMar>
            <w:vAlign w:val="bottom"/>
          </w:tcPr>
          <w:p>
            <w:pPr>
              <w:widowControl/>
              <w:spacing w:line="520" w:lineRule="exact"/>
              <w:rPr>
                <w:rFonts w:hint="eastAsia" w:asciiTheme="minorEastAsia" w:hAnsiTheme="minorEastAsia" w:eastAsiaTheme="minorEastAsia" w:cstheme="minorEastAsia"/>
                <w:sz w:val="28"/>
                <w:szCs w:val="28"/>
              </w:rPr>
            </w:pPr>
            <w:r>
              <w:rPr>
                <w:rFonts w:hint="eastAsia" w:asciiTheme="majorEastAsia" w:hAnsiTheme="majorEastAsia" w:eastAsiaTheme="majorEastAsia" w:cstheme="majorEastAsia"/>
                <w:szCs w:val="24"/>
              </w:rPr>
              <w:t>采购单位地址</w:t>
            </w:r>
          </w:p>
        </w:tc>
        <w:tc>
          <w:tcPr>
            <w:tcW w:w="7123" w:type="dxa"/>
            <w:noWrap/>
            <w:tcMar>
              <w:top w:w="36" w:type="dxa"/>
              <w:left w:w="36" w:type="dxa"/>
              <w:bottom w:w="36" w:type="dxa"/>
              <w:right w:w="36" w:type="dxa"/>
            </w:tcMar>
            <w:vAlign w:val="bottom"/>
          </w:tcPr>
          <w:p>
            <w:pPr>
              <w:widowControl/>
              <w:spacing w:line="520" w:lineRule="exact"/>
              <w:rPr>
                <w:rFonts w:hint="eastAsia" w:asciiTheme="minorEastAsia" w:hAnsiTheme="minorEastAsia" w:eastAsiaTheme="minorEastAsia" w:cstheme="minorEastAsia"/>
                <w:bCs/>
                <w:sz w:val="28"/>
                <w:szCs w:val="28"/>
              </w:rPr>
            </w:pPr>
            <w:r>
              <w:rPr>
                <w:rFonts w:hint="eastAsia" w:asciiTheme="majorEastAsia" w:hAnsiTheme="majorEastAsia" w:eastAsiaTheme="majorEastAsia" w:cstheme="majorEastAsia"/>
                <w:bCs/>
                <w:szCs w:val="24"/>
              </w:rPr>
              <w:t>成都市邛崃市临邛镇土陶村</w:t>
            </w:r>
            <w:r>
              <w:rPr>
                <w:rFonts w:hint="eastAsia" w:asciiTheme="majorEastAsia" w:hAnsiTheme="majorEastAsia" w:eastAsiaTheme="majorEastAsia" w:cstheme="majorEastAsia"/>
                <w:bCs/>
                <w:szCs w:val="24"/>
                <w:lang w:eastAsia="zh-CN"/>
              </w:rPr>
              <w:t>（</w:t>
            </w:r>
            <w:r>
              <w:rPr>
                <w:rFonts w:hint="eastAsia" w:asciiTheme="majorEastAsia" w:hAnsiTheme="majorEastAsia" w:eastAsiaTheme="majorEastAsia" w:cstheme="majorEastAsia"/>
                <w:bCs/>
                <w:szCs w:val="24"/>
                <w:lang w:val="en-US" w:eastAsia="zh-CN"/>
              </w:rPr>
              <w:t>导航搜索：邛崃市黄叶茶楼</w:t>
            </w:r>
            <w:r>
              <w:rPr>
                <w:rFonts w:hint="eastAsia" w:asciiTheme="majorEastAsia" w:hAnsiTheme="majorEastAsia" w:eastAsiaTheme="majorEastAsia" w:cstheme="majorEastAsia"/>
                <w:bCs/>
                <w:szCs w:val="24"/>
                <w:lang w:eastAsia="zh-CN"/>
              </w:rPr>
              <w:t>）</w:t>
            </w:r>
          </w:p>
        </w:tc>
      </w:tr>
    </w:tbl>
    <w:p>
      <w:pPr>
        <w:pStyle w:val="6"/>
        <w:spacing w:line="240" w:lineRule="auto"/>
        <w:ind w:firstLine="560" w:firstLineChars="200"/>
        <w:rPr>
          <w:rFonts w:hint="eastAsia" w:asciiTheme="minorEastAsia" w:hAnsiTheme="minorEastAsia" w:eastAsiaTheme="minorEastAsia" w:cstheme="minorEastAsia"/>
          <w:sz w:val="28"/>
          <w:szCs w:val="28"/>
          <w:lang w:val="zh-CN"/>
        </w:rPr>
      </w:pPr>
    </w:p>
    <w:p>
      <w:pPr>
        <w:autoSpaceDE w:val="0"/>
        <w:autoSpaceDN w:val="0"/>
        <w:spacing w:line="520" w:lineRule="exact"/>
        <w:ind w:firstLine="3220" w:firstLineChars="11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四川省邛崃监狱、 四川省南宝山服饰有限公司</w:t>
      </w:r>
    </w:p>
    <w:p>
      <w:pPr>
        <w:autoSpaceDE w:val="0"/>
        <w:autoSpaceDN w:val="0"/>
        <w:spacing w:line="520" w:lineRule="exact"/>
        <w:ind w:left="5740" w:leftChars="2050" w:firstLine="140" w:firstLineChars="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2025年7月</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日</w:t>
      </w:r>
    </w:p>
    <w:p>
      <w:pPr>
        <w:spacing w:line="500" w:lineRule="exact"/>
        <w:jc w:val="center"/>
        <w:rPr>
          <w:rFonts w:hint="eastAsia" w:asciiTheme="majorEastAsia" w:hAnsiTheme="majorEastAsia" w:eastAsiaTheme="majorEastAsia" w:cstheme="majorEastAsia"/>
          <w:b/>
          <w:sz w:val="44"/>
          <w:szCs w:val="44"/>
        </w:rPr>
      </w:pPr>
    </w:p>
    <w:p>
      <w:pPr>
        <w:spacing w:line="500" w:lineRule="exact"/>
        <w:jc w:val="center"/>
        <w:rPr>
          <w:rFonts w:hint="eastAsia" w:asciiTheme="majorEastAsia" w:hAnsiTheme="majorEastAsia" w:eastAsiaTheme="majorEastAsia" w:cstheme="majorEastAsia"/>
          <w:b/>
          <w:sz w:val="44"/>
          <w:szCs w:val="44"/>
        </w:rPr>
      </w:pPr>
    </w:p>
    <w:p>
      <w:pPr>
        <w:spacing w:line="500" w:lineRule="exact"/>
        <w:jc w:val="center"/>
        <w:rPr>
          <w:rFonts w:hint="eastAsia" w:asciiTheme="majorEastAsia" w:hAnsiTheme="majorEastAsia" w:eastAsiaTheme="majorEastAsia" w:cstheme="majorEastAsia"/>
          <w:b/>
          <w:sz w:val="44"/>
          <w:szCs w:val="44"/>
        </w:rPr>
      </w:pPr>
    </w:p>
    <w:p>
      <w:pPr>
        <w:spacing w:line="500" w:lineRule="exact"/>
        <w:jc w:val="center"/>
        <w:rPr>
          <w:rFonts w:hint="eastAsia" w:asciiTheme="majorEastAsia" w:hAnsiTheme="majorEastAsia" w:eastAsiaTheme="majorEastAsia" w:cstheme="majorEastAsia"/>
          <w:b/>
          <w:sz w:val="44"/>
          <w:szCs w:val="44"/>
        </w:rPr>
      </w:pPr>
    </w:p>
    <w:p>
      <w:pPr>
        <w:spacing w:line="500" w:lineRule="exact"/>
        <w:jc w:val="center"/>
        <w:rPr>
          <w:rFonts w:hint="eastAsia" w:asciiTheme="majorEastAsia" w:hAnsiTheme="majorEastAsia" w:eastAsiaTheme="majorEastAsia" w:cstheme="majorEastAsia"/>
          <w:b/>
          <w:sz w:val="44"/>
          <w:szCs w:val="44"/>
        </w:rPr>
      </w:pPr>
    </w:p>
    <w:p>
      <w:pPr>
        <w:spacing w:line="500" w:lineRule="exact"/>
        <w:jc w:val="center"/>
        <w:rPr>
          <w:rFonts w:hint="eastAsia" w:asciiTheme="majorEastAsia" w:hAnsiTheme="majorEastAsia" w:eastAsiaTheme="majorEastAsia" w:cstheme="majorEastAsia"/>
          <w:b/>
          <w:sz w:val="44"/>
          <w:szCs w:val="44"/>
        </w:rPr>
      </w:pPr>
    </w:p>
    <w:p>
      <w:pPr>
        <w:spacing w:line="500" w:lineRule="exact"/>
        <w:jc w:val="center"/>
        <w:rPr>
          <w:rFonts w:hint="eastAsia" w:asciiTheme="majorEastAsia" w:hAnsiTheme="majorEastAsia" w:eastAsiaTheme="majorEastAsia" w:cstheme="majorEastAsia"/>
          <w:b/>
          <w:sz w:val="44"/>
          <w:szCs w:val="44"/>
        </w:rPr>
      </w:pPr>
    </w:p>
    <w:p>
      <w:pPr>
        <w:spacing w:line="50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第二章 谈判须知</w:t>
      </w:r>
    </w:p>
    <w:p>
      <w:pPr>
        <w:spacing w:line="500" w:lineRule="exact"/>
        <w:ind w:firstLine="560" w:firstLineChars="200"/>
        <w:rPr>
          <w:rFonts w:hint="eastAsia" w:asciiTheme="minorEastAsia" w:hAnsiTheme="minorEastAsia" w:eastAsiaTheme="minorEastAsia" w:cstheme="minorEastAsia"/>
          <w:color w:val="FF0000"/>
          <w:sz w:val="28"/>
          <w:szCs w:val="28"/>
        </w:rPr>
      </w:pP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0"/>
          <w:szCs w:val="30"/>
        </w:rPr>
        <w:t>一、项目概况</w:t>
      </w:r>
    </w:p>
    <w:p>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川省邛崃监狱（四川省南宝山服饰有限公司），以下简称“监狱（公司）”，通过本次竞争性谈判确定2家合格的施工装饰企业，负责狱内房屋建筑、道路场地、水电管线等相关基础硬件设施的日常维修、改造、装修、安装、维护等内容。</w:t>
      </w:r>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二、项目需求</w:t>
      </w:r>
    </w:p>
    <w:p>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（一）日常维修工作开展的方式</w:t>
      </w:r>
    </w:p>
    <w:p>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监狱（公司）将狱内5万元以下的房屋、场地、</w:t>
      </w:r>
      <w:r>
        <w:rPr>
          <w:rFonts w:hint="eastAsia" w:asciiTheme="minorEastAsia" w:hAnsiTheme="minorEastAsia" w:eastAsiaTheme="minorEastAsia" w:cstheme="minorEastAsia"/>
          <w:color w:val="000000" w:themeColor="text1"/>
          <w:sz w:val="28"/>
          <w:szCs w:val="28"/>
        </w:rPr>
        <w:t>水电系统</w:t>
      </w:r>
      <w:r>
        <w:rPr>
          <w:rFonts w:hint="eastAsia" w:asciiTheme="minorEastAsia" w:hAnsiTheme="minorEastAsia" w:eastAsiaTheme="minorEastAsia" w:cstheme="minorEastAsia"/>
          <w:sz w:val="28"/>
          <w:szCs w:val="28"/>
        </w:rPr>
        <w:t>等基础设施日常维修、改造、装修、安装、维护等施工项目，委托给此次成交的2家企业实施。具体方式如下：</w:t>
      </w:r>
    </w:p>
    <w:p>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1.监狱（公司）发生5万元以下的基础设施类日常维修维护项目，由2家定点企业分别报价（报价不超过预算价），监狱（公司）选择报价低的企业包工包料负责实施。</w:t>
      </w:r>
    </w:p>
    <w:p>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每次维修项目结束后，结算按以下方式办理：对结算价在2万元以下的维修项目，结算价格按照本次采购确定的优惠比例下浮后，作为资金支付的依据。对结算价超过2万元的维修项目，由审计部门出具审核结果，作为资金支付的依据，结算价不再按本次采购确定的优惠比例下浮</w:t>
      </w:r>
    </w:p>
    <w:p>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3.监狱（公司）每年日常维修项目总量控制在20万元以下。</w:t>
      </w:r>
    </w:p>
    <w:p>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（二）供应商在项目实施过程中必须严格依照国家及地方相关建筑行业法规、规范开展项目建设，确保工程质量，按照安全生产管理相关规范，做到安全文明施工。</w:t>
      </w:r>
    </w:p>
    <w:p>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供应商在投标时须提交承诺书，承诺对监狱（公司）提出的维修服务需求做到24小时内及时响应，同时承诺施工期间遵守监狱的管理制度。承诺书由供应商自制格式编制，加盖企业鲜章。投标当天未提供的按废标处理。</w:t>
      </w:r>
    </w:p>
    <w:p>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（四）必要时，供应商需要协助监狱（企业）完善具体项目的实施方案、提供技术资料、效果图，必须按监狱要求办理。</w:t>
      </w:r>
    </w:p>
    <w:p>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（五）成交供应商与监狱（企业）分别签订合同，</w:t>
      </w:r>
      <w:r>
        <w:rPr>
          <w:rFonts w:hint="eastAsia" w:asciiTheme="minorEastAsia" w:hAnsiTheme="minorEastAsia" w:eastAsiaTheme="minorEastAsia" w:cstheme="minorEastAsia"/>
          <w:color w:val="000000" w:themeColor="text1"/>
          <w:sz w:val="28"/>
          <w:szCs w:val="28"/>
        </w:rPr>
        <w:t>服务期为两年</w:t>
      </w:r>
      <w:r>
        <w:rPr>
          <w:rFonts w:hint="eastAsia" w:asciiTheme="minorEastAsia" w:hAnsiTheme="minorEastAsia" w:eastAsiaTheme="minorEastAsia" w:cstheme="minorEastAsia"/>
          <w:sz w:val="28"/>
          <w:szCs w:val="28"/>
        </w:rPr>
        <w:t>。合同签订前向监狱缴纳履约保证金5000元，履约保证金在服务期满后退还。</w:t>
      </w:r>
    </w:p>
    <w:p>
      <w:pPr>
        <w:pStyle w:val="2"/>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（六）其他未尽事宜，按合同约定执行。</w:t>
      </w:r>
    </w:p>
    <w:p>
      <w:pPr>
        <w:keepNext w:val="0"/>
        <w:keepLines w:val="0"/>
        <w:pageBreakBefore w:val="0"/>
        <w:widowControl w:val="0"/>
        <w:kinsoku/>
        <w:wordWrap/>
        <w:overflowPunct/>
        <w:topLinePunct w:val="0"/>
        <w:autoSpaceDE/>
        <w:autoSpaceDN/>
        <w:bidi w:val="0"/>
        <w:adjustRightInd/>
        <w:snapToGrid/>
        <w:spacing w:line="0" w:lineRule="atLeast"/>
        <w:ind w:right="720" w:firstLine="560" w:firstLineChars="200"/>
        <w:textAlignment w:val="auto"/>
        <w:rPr>
          <w:rFonts w:hint="eastAsia" w:asciiTheme="minorEastAsia" w:hAnsiTheme="minorEastAsia" w:eastAsiaTheme="minorEastAsia" w:cstheme="minorEastAsia"/>
          <w:snapToGrid w:val="0"/>
          <w:color w:val="000000" w:themeColor="text1"/>
          <w:sz w:val="28"/>
          <w:szCs w:val="28"/>
        </w:rPr>
      </w:pPr>
      <w:r>
        <w:rPr>
          <w:rFonts w:hint="eastAsia" w:asciiTheme="minorEastAsia" w:hAnsiTheme="minorEastAsia" w:eastAsiaTheme="minorEastAsia" w:cstheme="minorEastAsia"/>
          <w:snapToGrid w:val="0"/>
          <w:color w:val="000000" w:themeColor="text1"/>
          <w:sz w:val="28"/>
          <w:szCs w:val="28"/>
        </w:rPr>
        <w:t>三、谈判评选方式</w:t>
      </w:r>
    </w:p>
    <w:p>
      <w:pPr>
        <w:keepNext w:val="0"/>
        <w:keepLines w:val="0"/>
        <w:pageBreakBefore w:val="0"/>
        <w:widowControl w:val="0"/>
        <w:kinsoku/>
        <w:wordWrap/>
        <w:overflowPunct/>
        <w:topLinePunct w:val="0"/>
        <w:autoSpaceDE/>
        <w:autoSpaceDN/>
        <w:bidi w:val="0"/>
        <w:adjustRightInd/>
        <w:snapToGrid/>
        <w:spacing w:line="0" w:lineRule="atLeast"/>
        <w:ind w:right="720" w:firstLine="560" w:firstLineChars="200"/>
        <w:textAlignment w:val="auto"/>
        <w:rPr>
          <w:rFonts w:hint="eastAsia" w:asciiTheme="minorEastAsia" w:hAnsiTheme="minorEastAsia" w:eastAsiaTheme="minorEastAsia" w:cstheme="minorEastAsia"/>
          <w:snapToGrid w:val="0"/>
          <w:color w:val="000000" w:themeColor="text1"/>
          <w:sz w:val="28"/>
          <w:szCs w:val="28"/>
        </w:rPr>
      </w:pPr>
      <w:r>
        <w:rPr>
          <w:rFonts w:hint="eastAsia" w:asciiTheme="minorEastAsia" w:hAnsiTheme="minorEastAsia" w:eastAsiaTheme="minorEastAsia" w:cstheme="minorEastAsia"/>
          <w:snapToGrid w:val="0"/>
          <w:color w:val="000000" w:themeColor="text1"/>
          <w:sz w:val="28"/>
          <w:szCs w:val="28"/>
        </w:rPr>
        <w:t>1.被邀请供应商按照谈判文件第三部分内容编制投标文件，编制完成的投标文件用文件袋包装，在封套封口处加盖鲜章，谈判当天向谈判人提交。投标文件只需正本一份。</w:t>
      </w:r>
    </w:p>
    <w:p>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outlineLvl w:val="2"/>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2.供应商资格审查：评审小组对参与竞争性谈判的供应商所提交的证明文件进行审查，符合要求的进入下一评审环节，不符合要求的为废标。</w:t>
      </w:r>
    </w:p>
    <w:p>
      <w:pPr>
        <w:pStyle w:val="2"/>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3.供应商报价审查：</w:t>
      </w:r>
      <w:r>
        <w:rPr>
          <w:rFonts w:hint="eastAsia" w:asciiTheme="minorEastAsia" w:hAnsiTheme="minorEastAsia" w:eastAsiaTheme="minorEastAsia" w:cstheme="minorEastAsia"/>
          <w:bCs/>
          <w:color w:val="000000"/>
          <w:sz w:val="28"/>
          <w:szCs w:val="28"/>
        </w:rPr>
        <w:t>评审小组对</w:t>
      </w:r>
      <w:r>
        <w:rPr>
          <w:rFonts w:hint="eastAsia" w:asciiTheme="minorEastAsia" w:hAnsiTheme="minorEastAsia" w:eastAsiaTheme="minorEastAsia" w:cstheme="minorEastAsia"/>
          <w:sz w:val="28"/>
          <w:szCs w:val="28"/>
        </w:rPr>
        <w:t>供应商报价书进行审查，结算价优惠下浮比例不得超过7%，否则为废标。</w:t>
      </w:r>
    </w:p>
    <w:p>
      <w:pPr>
        <w:pStyle w:val="3"/>
        <w:keepNext w:val="0"/>
        <w:keepLines w:val="0"/>
        <w:pageBreakBefore w:val="0"/>
        <w:widowControl w:val="0"/>
        <w:kinsoku/>
        <w:wordWrap/>
        <w:overflowPunct/>
        <w:topLinePunct w:val="0"/>
        <w:autoSpaceDE/>
        <w:autoSpaceDN/>
        <w:bidi w:val="0"/>
        <w:adjustRightInd/>
        <w:snapToGrid/>
        <w:spacing w:line="0" w:lineRule="atLeast"/>
        <w:ind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rPr>
        <w:t>4.评审小组与供应商进行谈判，谈判结束后，供应商进行二次报价。</w:t>
      </w:r>
      <w:r>
        <w:rPr>
          <w:rFonts w:hint="eastAsia" w:asciiTheme="minorEastAsia" w:hAnsiTheme="minorEastAsia" w:eastAsiaTheme="minorEastAsia" w:cstheme="minorEastAsia"/>
          <w:color w:val="000000"/>
          <w:sz w:val="28"/>
          <w:szCs w:val="28"/>
        </w:rPr>
        <w:t>二次报价结算价下浮优惠比例应等于或高于报价书优惠比例，且不超过7%，超过为无效报价，为废标。</w:t>
      </w:r>
    </w:p>
    <w:p>
      <w:pPr>
        <w:pStyle w:val="3"/>
        <w:keepNext w:val="0"/>
        <w:keepLines w:val="0"/>
        <w:pageBreakBefore w:val="0"/>
        <w:widowControl w:val="0"/>
        <w:kinsoku/>
        <w:wordWrap/>
        <w:overflowPunct/>
        <w:topLinePunct w:val="0"/>
        <w:autoSpaceDE/>
        <w:autoSpaceDN/>
        <w:bidi w:val="0"/>
        <w:adjustRightInd/>
        <w:snapToGrid/>
        <w:spacing w:line="0" w:lineRule="atLeast"/>
        <w:ind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5.评审小组按供应商二次报价优惠比例由高到低进行排名，成交供应商按如下方式确定：</w:t>
      </w:r>
    </w:p>
    <w:p>
      <w:pPr>
        <w:keepNext w:val="0"/>
        <w:keepLines w:val="0"/>
        <w:pageBreakBefore w:val="0"/>
        <w:widowControl w:val="0"/>
        <w:kinsoku/>
        <w:wordWrap/>
        <w:overflowPunct/>
        <w:topLinePunct w:val="0"/>
        <w:autoSpaceDE/>
        <w:autoSpaceDN/>
        <w:bidi w:val="0"/>
        <w:adjustRightInd/>
        <w:snapToGrid/>
        <w:spacing w:line="0" w:lineRule="atLeast"/>
        <w:ind w:firstLine="548" w:firstLineChars="196"/>
        <w:jc w:val="left"/>
        <w:textAlignment w:val="auto"/>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1）排名第一和第二的供应商各有1家，当且二次报价优惠比例不一致时，需经现场确认，优惠比例较低的企业是否同意日常维修合同执行优惠比例较高的企业的优惠比例，如同意，则优惠比例较低的企业中选有效，如不同意，取消中选资格，由评审组依次询问排名第三及以后的企业，如排名第三的企业同意优惠比例较高的已中标企业优惠比例，则排名第三的企业宣布成交，以此类推。当排名第二的供应商经过上述流程后仍有2家或以上的情况，则随机抽取1家作为成交供应商。</w:t>
      </w:r>
    </w:p>
    <w:p>
      <w:pPr>
        <w:pStyle w:val="3"/>
        <w:keepNext w:val="0"/>
        <w:keepLines w:val="0"/>
        <w:pageBreakBefore w:val="0"/>
        <w:widowControl w:val="0"/>
        <w:kinsoku/>
        <w:wordWrap/>
        <w:overflowPunct/>
        <w:topLinePunct w:val="0"/>
        <w:autoSpaceDE/>
        <w:autoSpaceDN/>
        <w:bidi w:val="0"/>
        <w:adjustRightInd/>
        <w:snapToGrid/>
        <w:spacing w:line="0" w:lineRule="atLeast"/>
        <w:ind w:firstLineChars="200"/>
        <w:textAlignment w:val="auto"/>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（2）评比排名确定后，当排名并立第一的供应商为两家，该两家供应商为成交供应商；排名第一的供应商有3家及以上的情况，则随机抽取2家作为成交供应商。</w:t>
      </w:r>
    </w:p>
    <w:p>
      <w:pPr>
        <w:keepNext w:val="0"/>
        <w:keepLines w:val="0"/>
        <w:pageBreakBefore w:val="0"/>
        <w:widowControl w:val="0"/>
        <w:kinsoku/>
        <w:wordWrap/>
        <w:overflowPunct/>
        <w:topLinePunct w:val="0"/>
        <w:autoSpaceDE/>
        <w:autoSpaceDN/>
        <w:bidi w:val="0"/>
        <w:adjustRightInd/>
        <w:snapToGrid/>
        <w:spacing w:line="0" w:lineRule="atLeast"/>
        <w:ind w:right="720" w:firstLine="560" w:firstLineChars="200"/>
        <w:textAlignment w:val="auto"/>
        <w:rPr>
          <w:rFonts w:hint="eastAsia" w:asciiTheme="minorEastAsia" w:hAnsiTheme="minorEastAsia" w:eastAsiaTheme="minorEastAsia" w:cstheme="minorEastAsia"/>
          <w:snapToGrid w:val="0"/>
          <w:color w:val="000000" w:themeColor="text1"/>
          <w:sz w:val="28"/>
          <w:szCs w:val="28"/>
        </w:rPr>
      </w:pPr>
      <w:r>
        <w:rPr>
          <w:rFonts w:hint="eastAsia" w:asciiTheme="minorEastAsia" w:hAnsiTheme="minorEastAsia" w:eastAsiaTheme="minorEastAsia" w:cstheme="minorEastAsia"/>
          <w:snapToGrid w:val="0"/>
          <w:color w:val="000000" w:themeColor="text1"/>
          <w:sz w:val="28"/>
          <w:szCs w:val="28"/>
        </w:rPr>
        <w:t>6.谈判人向所有供应商当场宣布评比结果，宣布谈判结束。</w:t>
      </w:r>
    </w:p>
    <w:p>
      <w:pPr>
        <w:keepNext w:val="0"/>
        <w:keepLines w:val="0"/>
        <w:pageBreakBefore w:val="0"/>
        <w:widowControl w:val="0"/>
        <w:kinsoku/>
        <w:wordWrap/>
        <w:overflowPunct/>
        <w:topLinePunct w:val="0"/>
        <w:autoSpaceDE/>
        <w:autoSpaceDN/>
        <w:bidi w:val="0"/>
        <w:adjustRightInd/>
        <w:snapToGrid/>
        <w:spacing w:line="0" w:lineRule="atLeast"/>
        <w:ind w:right="720" w:firstLine="560" w:firstLineChars="200"/>
        <w:textAlignment w:val="auto"/>
        <w:rPr>
          <w:rFonts w:hint="eastAsia" w:asciiTheme="minorEastAsia" w:hAnsiTheme="minorEastAsia" w:eastAsiaTheme="minorEastAsia" w:cstheme="minorEastAsia"/>
          <w:snapToGrid w:val="0"/>
          <w:color w:val="000000" w:themeColor="text1"/>
          <w:sz w:val="28"/>
          <w:szCs w:val="28"/>
        </w:rPr>
      </w:pPr>
      <w:r>
        <w:rPr>
          <w:rFonts w:hint="eastAsia" w:asciiTheme="minorEastAsia" w:hAnsiTheme="minorEastAsia" w:eastAsiaTheme="minorEastAsia" w:cstheme="minorEastAsia"/>
          <w:snapToGrid w:val="0"/>
          <w:color w:val="000000" w:themeColor="text1"/>
          <w:sz w:val="28"/>
          <w:szCs w:val="28"/>
        </w:rPr>
        <w:t>7．经过谈判确定成交候选人后，谈判人不对其他未中选的被邀请人，就评比过程和未能中选原因作任何解释。</w:t>
      </w:r>
    </w:p>
    <w:p>
      <w:pPr>
        <w:pStyle w:val="3"/>
        <w:keepNext w:val="0"/>
        <w:keepLines w:val="0"/>
        <w:pageBreakBefore w:val="0"/>
        <w:widowControl w:val="0"/>
        <w:kinsoku/>
        <w:wordWrap/>
        <w:overflowPunct/>
        <w:topLinePunct w:val="0"/>
        <w:autoSpaceDE/>
        <w:autoSpaceDN/>
        <w:bidi w:val="0"/>
        <w:adjustRightInd/>
        <w:snapToGrid/>
        <w:spacing w:line="0" w:lineRule="atLeast"/>
        <w:ind w:firstLine="280"/>
        <w:textAlignment w:val="auto"/>
        <w:rPr>
          <w:rFonts w:hint="eastAsia" w:asciiTheme="minorEastAsia" w:hAnsiTheme="minorEastAsia" w:eastAsiaTheme="minorEastAsia" w:cstheme="minorEastAsia"/>
          <w:sz w:val="28"/>
          <w:szCs w:val="28"/>
        </w:rPr>
      </w:pPr>
    </w:p>
    <w:bookmarkEnd w:id="0"/>
    <w:p>
      <w:pPr>
        <w:spacing w:line="360" w:lineRule="auto"/>
        <w:jc w:val="center"/>
        <w:rPr>
          <w:rFonts w:hint="eastAsia" w:asciiTheme="minorEastAsia" w:hAnsiTheme="minorEastAsia" w:eastAsiaTheme="minorEastAsia" w:cstheme="minorEastAsia"/>
          <w:b/>
          <w:snapToGrid w:val="0"/>
          <w:sz w:val="44"/>
          <w:szCs w:val="44"/>
        </w:rPr>
      </w:pPr>
    </w:p>
    <w:p>
      <w:pPr>
        <w:spacing w:line="360" w:lineRule="auto"/>
        <w:jc w:val="center"/>
        <w:rPr>
          <w:rFonts w:hint="eastAsia" w:asciiTheme="minorEastAsia" w:hAnsiTheme="minorEastAsia" w:eastAsiaTheme="minorEastAsia" w:cstheme="minorEastAsia"/>
          <w:b/>
          <w:snapToGrid w:val="0"/>
          <w:sz w:val="44"/>
          <w:szCs w:val="44"/>
        </w:rPr>
      </w:pPr>
    </w:p>
    <w:p>
      <w:pPr>
        <w:spacing w:line="360" w:lineRule="auto"/>
        <w:jc w:val="center"/>
        <w:rPr>
          <w:rFonts w:hint="eastAsia" w:asciiTheme="minorEastAsia" w:hAnsiTheme="minorEastAsia" w:eastAsiaTheme="minorEastAsia" w:cstheme="minorEastAsia"/>
          <w:b/>
          <w:snapToGrid w:val="0"/>
          <w:sz w:val="44"/>
          <w:szCs w:val="44"/>
        </w:rPr>
      </w:pPr>
    </w:p>
    <w:p>
      <w:pPr>
        <w:spacing w:line="360" w:lineRule="auto"/>
        <w:jc w:val="center"/>
        <w:rPr>
          <w:rFonts w:hint="eastAsia" w:asciiTheme="minorEastAsia" w:hAnsiTheme="minorEastAsia" w:eastAsiaTheme="minorEastAsia" w:cstheme="minorEastAsia"/>
          <w:b/>
          <w:snapToGrid w:val="0"/>
          <w:sz w:val="44"/>
          <w:szCs w:val="44"/>
        </w:rPr>
      </w:pPr>
    </w:p>
    <w:p>
      <w:pPr>
        <w:spacing w:line="360" w:lineRule="auto"/>
        <w:jc w:val="center"/>
        <w:rPr>
          <w:rFonts w:hint="eastAsia" w:asciiTheme="minorEastAsia" w:hAnsiTheme="minorEastAsia" w:eastAsiaTheme="minorEastAsia" w:cstheme="minorEastAsia"/>
          <w:b/>
          <w:snapToGrid w:val="0"/>
          <w:sz w:val="44"/>
          <w:szCs w:val="44"/>
        </w:rPr>
      </w:pPr>
    </w:p>
    <w:p>
      <w:pPr>
        <w:spacing w:line="360" w:lineRule="auto"/>
        <w:jc w:val="center"/>
        <w:rPr>
          <w:rFonts w:hint="eastAsia" w:asciiTheme="minorEastAsia" w:hAnsiTheme="minorEastAsia" w:eastAsiaTheme="minorEastAsia" w:cstheme="minorEastAsia"/>
          <w:b/>
          <w:snapToGrid w:val="0"/>
          <w:sz w:val="44"/>
          <w:szCs w:val="44"/>
        </w:rPr>
      </w:pPr>
    </w:p>
    <w:p>
      <w:pPr>
        <w:spacing w:line="360" w:lineRule="auto"/>
        <w:jc w:val="center"/>
        <w:rPr>
          <w:rFonts w:hint="eastAsia" w:asciiTheme="minorEastAsia" w:hAnsiTheme="minorEastAsia" w:eastAsiaTheme="minorEastAsia" w:cstheme="minorEastAsia"/>
          <w:b/>
          <w:snapToGrid w:val="0"/>
          <w:sz w:val="44"/>
          <w:szCs w:val="44"/>
        </w:rPr>
      </w:pPr>
    </w:p>
    <w:p>
      <w:pPr>
        <w:spacing w:line="360" w:lineRule="auto"/>
        <w:jc w:val="center"/>
        <w:rPr>
          <w:rFonts w:hint="eastAsia" w:asciiTheme="minorEastAsia" w:hAnsiTheme="minorEastAsia" w:eastAsiaTheme="minorEastAsia" w:cstheme="minorEastAsia"/>
          <w:b/>
          <w:snapToGrid w:val="0"/>
          <w:sz w:val="44"/>
          <w:szCs w:val="44"/>
        </w:rPr>
      </w:pPr>
    </w:p>
    <w:p>
      <w:pPr>
        <w:spacing w:line="360" w:lineRule="auto"/>
        <w:jc w:val="center"/>
        <w:rPr>
          <w:rFonts w:hint="eastAsia" w:asciiTheme="minorEastAsia" w:hAnsiTheme="minorEastAsia" w:eastAsiaTheme="minorEastAsia" w:cstheme="minorEastAsia"/>
          <w:b/>
          <w:snapToGrid w:val="0"/>
          <w:sz w:val="44"/>
          <w:szCs w:val="44"/>
        </w:rPr>
      </w:pPr>
    </w:p>
    <w:p>
      <w:pPr>
        <w:spacing w:line="360" w:lineRule="auto"/>
        <w:jc w:val="center"/>
        <w:rPr>
          <w:rFonts w:hint="eastAsia" w:asciiTheme="minorEastAsia" w:hAnsiTheme="minorEastAsia" w:eastAsiaTheme="minorEastAsia" w:cstheme="minorEastAsia"/>
          <w:b/>
          <w:snapToGrid w:val="0"/>
          <w:sz w:val="44"/>
          <w:szCs w:val="44"/>
        </w:rPr>
      </w:pPr>
    </w:p>
    <w:p>
      <w:pPr>
        <w:spacing w:line="360" w:lineRule="auto"/>
        <w:jc w:val="center"/>
        <w:rPr>
          <w:rFonts w:hint="eastAsia" w:asciiTheme="minorEastAsia" w:hAnsiTheme="minorEastAsia" w:eastAsiaTheme="minorEastAsia" w:cstheme="minorEastAsia"/>
          <w:b/>
          <w:snapToGrid w:val="0"/>
          <w:sz w:val="44"/>
          <w:szCs w:val="44"/>
        </w:rPr>
      </w:pPr>
      <w:bookmarkStart w:id="1" w:name="_GoBack"/>
      <w:bookmarkEnd w:id="1"/>
      <w:r>
        <w:rPr>
          <w:rFonts w:hint="eastAsia" w:asciiTheme="minorEastAsia" w:hAnsiTheme="minorEastAsia" w:eastAsiaTheme="minorEastAsia" w:cstheme="minorEastAsia"/>
          <w:b/>
          <w:snapToGrid w:val="0"/>
          <w:sz w:val="44"/>
          <w:szCs w:val="44"/>
        </w:rPr>
        <w:t>第</w:t>
      </w:r>
      <w:r>
        <w:rPr>
          <w:rFonts w:hint="eastAsia" w:asciiTheme="minorEastAsia" w:hAnsiTheme="minorEastAsia" w:eastAsiaTheme="minorEastAsia" w:cstheme="minorEastAsia"/>
          <w:b/>
          <w:snapToGrid w:val="0"/>
          <w:sz w:val="44"/>
          <w:szCs w:val="44"/>
          <w:lang w:eastAsia="zh-CN"/>
        </w:rPr>
        <w:t>三</w:t>
      </w:r>
      <w:r>
        <w:rPr>
          <w:rFonts w:hint="eastAsia" w:asciiTheme="minorEastAsia" w:hAnsiTheme="minorEastAsia" w:eastAsiaTheme="minorEastAsia" w:cstheme="minorEastAsia"/>
          <w:b/>
          <w:snapToGrid w:val="0"/>
          <w:sz w:val="44"/>
          <w:szCs w:val="44"/>
        </w:rPr>
        <w:t>章 报价文件格式</w:t>
      </w:r>
    </w:p>
    <w:p>
      <w:pPr>
        <w:spacing w:line="360" w:lineRule="auto"/>
        <w:rPr>
          <w:rFonts w:ascii="仿宋_GB2312" w:hAnsi="宋体" w:eastAsia="仿宋_GB2312"/>
          <w:b/>
          <w:bCs/>
          <w:snapToGrid w:val="0"/>
        </w:rPr>
      </w:pPr>
    </w:p>
    <w:p>
      <w:pPr>
        <w:snapToGrid w:val="0"/>
        <w:spacing w:line="360" w:lineRule="auto"/>
        <w:jc w:val="center"/>
        <w:rPr>
          <w:rFonts w:hint="eastAsia" w:asciiTheme="minorEastAsia" w:hAnsiTheme="minorEastAsia" w:eastAsiaTheme="minorEastAsia" w:cstheme="minorEastAsia"/>
          <w:b/>
          <w:snapToGrid w:val="0"/>
          <w:sz w:val="36"/>
          <w:szCs w:val="36"/>
        </w:rPr>
      </w:pPr>
      <w:r>
        <w:rPr>
          <w:rFonts w:hint="eastAsia" w:asciiTheme="minorEastAsia" w:hAnsiTheme="minorEastAsia" w:eastAsiaTheme="minorEastAsia" w:cstheme="minorEastAsia"/>
          <w:b/>
          <w:snapToGrid w:val="0"/>
          <w:sz w:val="36"/>
          <w:szCs w:val="36"/>
        </w:rPr>
        <w:t>报 价 书</w:t>
      </w:r>
    </w:p>
    <w:p>
      <w:pPr>
        <w:snapToGrid w:val="0"/>
        <w:spacing w:line="360" w:lineRule="auto"/>
        <w:rPr>
          <w:rFonts w:hint="eastAsia" w:asciiTheme="minorEastAsia" w:hAnsiTheme="minorEastAsia" w:eastAsiaTheme="minorEastAsia" w:cstheme="minorEastAsia"/>
          <w:snapToGrid w:val="0"/>
        </w:rPr>
      </w:pPr>
      <w:r>
        <w:rPr>
          <w:rFonts w:hint="eastAsia" w:asciiTheme="minorEastAsia" w:hAnsiTheme="minorEastAsia" w:eastAsiaTheme="minorEastAsia" w:cstheme="minorEastAsia"/>
          <w:b/>
          <w:sz w:val="32"/>
          <w:szCs w:val="32"/>
        </w:rPr>
        <w:t>四川省邛崃监狱/四川省南宝山服饰有限公司：</w:t>
      </w:r>
    </w:p>
    <w:p>
      <w:pPr>
        <w:spacing w:line="440" w:lineRule="exact"/>
        <w:rPr>
          <w:rFonts w:hint="eastAsia" w:asciiTheme="minorEastAsia" w:hAnsiTheme="minorEastAsia" w:eastAsiaTheme="minorEastAsia" w:cstheme="minorEastAsia"/>
          <w:snapToGrid w:val="0"/>
        </w:rPr>
      </w:pPr>
      <w:r>
        <w:rPr>
          <w:rFonts w:hint="eastAsia" w:asciiTheme="minorEastAsia" w:hAnsiTheme="minorEastAsia" w:eastAsiaTheme="minorEastAsia" w:cstheme="minorEastAsia"/>
          <w:snapToGrid w:val="0"/>
          <w:u w:val="single"/>
        </w:rPr>
        <w:t xml:space="preserve">                     </w:t>
      </w:r>
      <w:r>
        <w:rPr>
          <w:rFonts w:hint="eastAsia" w:asciiTheme="minorEastAsia" w:hAnsiTheme="minorEastAsia" w:eastAsiaTheme="minorEastAsia" w:cstheme="minorEastAsia"/>
          <w:snapToGrid w:val="0"/>
        </w:rPr>
        <w:t>（企业全称）法人代表</w:t>
      </w:r>
      <w:r>
        <w:rPr>
          <w:rFonts w:hint="eastAsia" w:asciiTheme="minorEastAsia" w:hAnsiTheme="minorEastAsia" w:eastAsiaTheme="minorEastAsia" w:cstheme="minorEastAsia"/>
          <w:snapToGrid w:val="0"/>
          <w:u w:val="single"/>
        </w:rPr>
        <w:t xml:space="preserve">              </w:t>
      </w:r>
      <w:r>
        <w:rPr>
          <w:rFonts w:hint="eastAsia" w:asciiTheme="minorEastAsia" w:hAnsiTheme="minorEastAsia" w:eastAsiaTheme="minorEastAsia" w:cstheme="minorEastAsia"/>
          <w:snapToGrid w:val="0"/>
        </w:rPr>
        <w:t>授权</w:t>
      </w:r>
    </w:p>
    <w:p>
      <w:pPr>
        <w:snapToGrid w:val="0"/>
        <w:spacing w:line="360" w:lineRule="auto"/>
        <w:rPr>
          <w:rFonts w:hint="eastAsia" w:asciiTheme="minorEastAsia" w:hAnsiTheme="minorEastAsia" w:eastAsiaTheme="minorEastAsia" w:cstheme="minorEastAsia"/>
          <w:snapToGrid w:val="0"/>
        </w:rPr>
      </w:pPr>
      <w:r>
        <w:rPr>
          <w:rFonts w:hint="eastAsia" w:asciiTheme="minorEastAsia" w:hAnsiTheme="minorEastAsia" w:eastAsiaTheme="minorEastAsia" w:cstheme="minorEastAsia"/>
          <w:snapToGrid w:val="0"/>
          <w:u w:val="single"/>
        </w:rPr>
        <w:t xml:space="preserve">           </w:t>
      </w:r>
      <w:r>
        <w:rPr>
          <w:rFonts w:hint="eastAsia" w:asciiTheme="minorEastAsia" w:hAnsiTheme="minorEastAsia" w:eastAsiaTheme="minorEastAsia" w:cstheme="minorEastAsia"/>
          <w:snapToGrid w:val="0"/>
        </w:rPr>
        <w:t>为全权代表（联系电话：</w:t>
      </w:r>
      <w:r>
        <w:rPr>
          <w:rFonts w:hint="eastAsia" w:asciiTheme="minorEastAsia" w:hAnsiTheme="minorEastAsia" w:eastAsiaTheme="minorEastAsia" w:cstheme="minorEastAsia"/>
          <w:snapToGrid w:val="0"/>
          <w:szCs w:val="24"/>
          <w:u w:val="single"/>
        </w:rPr>
        <w:t xml:space="preserve">           </w:t>
      </w:r>
      <w:r>
        <w:rPr>
          <w:rFonts w:hint="eastAsia" w:asciiTheme="minorEastAsia" w:hAnsiTheme="minorEastAsia" w:eastAsiaTheme="minorEastAsia" w:cstheme="minorEastAsia"/>
          <w:snapToGrid w:val="0"/>
        </w:rPr>
        <w:t>），参加贵方组织的</w:t>
      </w:r>
      <w:r>
        <w:rPr>
          <w:rFonts w:hint="eastAsia" w:asciiTheme="minorEastAsia" w:hAnsiTheme="minorEastAsia" w:eastAsiaTheme="minorEastAsia" w:cstheme="minorEastAsia"/>
          <w:bCs/>
          <w:kern w:val="0"/>
          <w:u w:val="single"/>
        </w:rPr>
        <w:t>四川省邛崃监狱、四川省南宝山服饰有限公司</w:t>
      </w:r>
      <w:r>
        <w:rPr>
          <w:rFonts w:hint="eastAsia" w:asciiTheme="minorEastAsia" w:hAnsiTheme="minorEastAsia" w:eastAsiaTheme="minorEastAsia" w:cstheme="minorEastAsia"/>
          <w:u w:val="single"/>
        </w:rPr>
        <w:t>日常定点维修企业采购</w:t>
      </w:r>
      <w:r>
        <w:rPr>
          <w:rFonts w:hint="eastAsia" w:asciiTheme="minorEastAsia" w:hAnsiTheme="minorEastAsia" w:eastAsiaTheme="minorEastAsia" w:cstheme="minorEastAsia"/>
          <w:snapToGrid w:val="0"/>
        </w:rPr>
        <w:t>（项目名称）的有关活动，我们已经仔细研究并接受竞争性磋商文件所有内容，自愿参与该项目的磋商活动，并对</w:t>
      </w:r>
      <w:r>
        <w:rPr>
          <w:rFonts w:hint="eastAsia" w:asciiTheme="minorEastAsia" w:hAnsiTheme="minorEastAsia" w:eastAsiaTheme="minorEastAsia" w:cstheme="minorEastAsia"/>
          <w:snapToGrid w:val="0"/>
          <w:szCs w:val="24"/>
        </w:rPr>
        <w:t>该</w:t>
      </w:r>
      <w:r>
        <w:rPr>
          <w:rFonts w:hint="eastAsia" w:asciiTheme="minorEastAsia" w:hAnsiTheme="minorEastAsia" w:eastAsiaTheme="minorEastAsia" w:cstheme="minorEastAsia"/>
          <w:snapToGrid w:val="0"/>
        </w:rPr>
        <w:t>项目进行报价和承诺如下：</w:t>
      </w:r>
    </w:p>
    <w:p>
      <w:pPr>
        <w:snapToGrid w:val="0"/>
        <w:spacing w:line="360" w:lineRule="auto"/>
        <w:ind w:firstLine="480"/>
        <w:rPr>
          <w:rFonts w:hint="eastAsia" w:asciiTheme="minorEastAsia" w:hAnsiTheme="minorEastAsia" w:eastAsiaTheme="minorEastAsia" w:cstheme="minorEastAsia"/>
          <w:snapToGrid w:val="0"/>
        </w:rPr>
      </w:pPr>
      <w:r>
        <w:rPr>
          <w:rFonts w:hint="eastAsia" w:asciiTheme="minorEastAsia" w:hAnsiTheme="minorEastAsia" w:eastAsiaTheme="minorEastAsia" w:cstheme="minorEastAsia"/>
          <w:snapToGrid w:val="0"/>
        </w:rPr>
        <w:t>1、日常维修项目结算价的优惠比例为下浮</w:t>
      </w:r>
      <w:r>
        <w:rPr>
          <w:rFonts w:hint="eastAsia" w:asciiTheme="minorEastAsia" w:hAnsiTheme="minorEastAsia" w:eastAsiaTheme="minorEastAsia" w:cstheme="minorEastAsia"/>
          <w:snapToGrid w:val="0"/>
          <w:szCs w:val="24"/>
          <w:u w:val="single"/>
        </w:rPr>
        <w:t xml:space="preserve">     % </w:t>
      </w:r>
      <w:r>
        <w:rPr>
          <w:rFonts w:hint="eastAsia" w:asciiTheme="minorEastAsia" w:hAnsiTheme="minorEastAsia" w:eastAsiaTheme="minorEastAsia" w:cstheme="minorEastAsia"/>
          <w:snapToGrid w:val="0"/>
        </w:rPr>
        <w:t>（大写）：</w:t>
      </w:r>
      <w:r>
        <w:rPr>
          <w:rFonts w:hint="eastAsia" w:asciiTheme="minorEastAsia" w:hAnsiTheme="minorEastAsia" w:eastAsiaTheme="minorEastAsia" w:cstheme="minorEastAsia"/>
          <w:snapToGrid w:val="0"/>
          <w:u w:val="single"/>
        </w:rPr>
        <w:t xml:space="preserve">                  </w:t>
      </w:r>
      <w:r>
        <w:rPr>
          <w:rFonts w:hint="eastAsia" w:asciiTheme="minorEastAsia" w:hAnsiTheme="minorEastAsia" w:eastAsiaTheme="minorEastAsia" w:cstheme="minorEastAsia"/>
          <w:snapToGrid w:val="0"/>
        </w:rPr>
        <w:t>。</w:t>
      </w:r>
    </w:p>
    <w:p>
      <w:pPr>
        <w:snapToGrid w:val="0"/>
        <w:spacing w:line="360" w:lineRule="auto"/>
        <w:ind w:firstLine="480"/>
        <w:rPr>
          <w:rFonts w:hint="eastAsia" w:asciiTheme="minorEastAsia" w:hAnsiTheme="minorEastAsia" w:eastAsiaTheme="minorEastAsia" w:cstheme="minorEastAsia"/>
          <w:snapToGrid w:val="0"/>
        </w:rPr>
      </w:pPr>
      <w:r>
        <w:rPr>
          <w:rFonts w:hint="eastAsia" w:asciiTheme="minorEastAsia" w:hAnsiTheme="minorEastAsia" w:eastAsiaTheme="minorEastAsia" w:cstheme="minorEastAsia"/>
          <w:snapToGrid w:val="0"/>
        </w:rPr>
        <w:t>2、保证响应并遵守竞争性</w:t>
      </w:r>
      <w:r>
        <w:rPr>
          <w:rFonts w:hint="eastAsia" w:asciiTheme="minorEastAsia" w:hAnsiTheme="minorEastAsia" w:eastAsiaTheme="minorEastAsia" w:cstheme="minorEastAsia"/>
          <w:snapToGrid w:val="0"/>
          <w:lang w:eastAsia="zh-CN"/>
        </w:rPr>
        <w:t>谈判</w:t>
      </w:r>
      <w:r>
        <w:rPr>
          <w:rFonts w:hint="eastAsia" w:asciiTheme="minorEastAsia" w:hAnsiTheme="minorEastAsia" w:eastAsiaTheme="minorEastAsia" w:cstheme="minorEastAsia"/>
          <w:snapToGrid w:val="0"/>
        </w:rPr>
        <w:t>文件中的有关规定。</w:t>
      </w:r>
    </w:p>
    <w:p>
      <w:pPr>
        <w:snapToGrid w:val="0"/>
        <w:spacing w:line="360" w:lineRule="auto"/>
        <w:ind w:firstLine="480"/>
        <w:rPr>
          <w:rFonts w:hint="eastAsia" w:asciiTheme="minorEastAsia" w:hAnsiTheme="minorEastAsia" w:eastAsiaTheme="minorEastAsia" w:cstheme="minorEastAsia"/>
          <w:snapToGrid w:val="0"/>
        </w:rPr>
      </w:pPr>
      <w:r>
        <w:rPr>
          <w:rFonts w:hint="eastAsia" w:asciiTheme="minorEastAsia" w:hAnsiTheme="minorEastAsia" w:eastAsiaTheme="minorEastAsia" w:cstheme="minorEastAsia"/>
          <w:snapToGrid w:val="0"/>
        </w:rPr>
        <w:t>3、成为成交供应商并签订正式合同后，保证忠实地履行双方所签的维修服务合同、承担合同规定的责任和义务。</w:t>
      </w:r>
    </w:p>
    <w:p>
      <w:pPr>
        <w:widowControl/>
        <w:shd w:val="clear" w:color="auto" w:fill="FFFFFF"/>
        <w:spacing w:line="560" w:lineRule="exact"/>
        <w:ind w:firstLine="56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以上为我方参加竞争性</w:t>
      </w:r>
      <w:r>
        <w:rPr>
          <w:rFonts w:hint="eastAsia" w:asciiTheme="minorEastAsia" w:hAnsiTheme="minorEastAsia" w:eastAsiaTheme="minorEastAsia" w:cstheme="minorEastAsia"/>
          <w:lang w:eastAsia="zh-CN"/>
        </w:rPr>
        <w:t>谈判</w:t>
      </w:r>
      <w:r>
        <w:rPr>
          <w:rFonts w:hint="eastAsia" w:asciiTheme="minorEastAsia" w:hAnsiTheme="minorEastAsia" w:eastAsiaTheme="minorEastAsia" w:cstheme="minorEastAsia"/>
        </w:rPr>
        <w:t>的报价书，如违反，则自行承担相应法律责任，自愿按照相关规定接受处罚。</w:t>
      </w:r>
    </w:p>
    <w:p>
      <w:pPr>
        <w:snapToGrid w:val="0"/>
        <w:spacing w:line="360" w:lineRule="auto"/>
        <w:ind w:firstLine="480"/>
        <w:rPr>
          <w:rFonts w:hint="eastAsia" w:asciiTheme="minorEastAsia" w:hAnsiTheme="minorEastAsia" w:eastAsiaTheme="minorEastAsia" w:cstheme="minorEastAsia"/>
          <w:snapToGrid w:val="0"/>
        </w:rPr>
      </w:pPr>
    </w:p>
    <w:p>
      <w:pPr>
        <w:snapToGrid w:val="0"/>
        <w:spacing w:line="360" w:lineRule="auto"/>
        <w:rPr>
          <w:rFonts w:hint="eastAsia" w:asciiTheme="minorEastAsia" w:hAnsiTheme="minorEastAsia" w:eastAsiaTheme="minorEastAsia" w:cstheme="minorEastAsia"/>
          <w:snapToGrid w:val="0"/>
        </w:rPr>
      </w:pPr>
      <w:r>
        <w:rPr>
          <w:rFonts w:hint="eastAsia" w:asciiTheme="minorEastAsia" w:hAnsiTheme="minorEastAsia" w:eastAsiaTheme="minorEastAsia" w:cstheme="minorEastAsia"/>
          <w:snapToGrid w:val="0"/>
        </w:rPr>
        <w:t xml:space="preserve">                                </w:t>
      </w:r>
    </w:p>
    <w:p>
      <w:pPr>
        <w:snapToGrid w:val="0"/>
        <w:spacing w:line="360" w:lineRule="auto"/>
        <w:ind w:firstLine="3080" w:firstLineChars="1100"/>
        <w:rPr>
          <w:rFonts w:hint="eastAsia" w:asciiTheme="minorEastAsia" w:hAnsiTheme="minorEastAsia" w:eastAsiaTheme="minorEastAsia" w:cstheme="minorEastAsia"/>
          <w:snapToGrid w:val="0"/>
        </w:rPr>
      </w:pPr>
      <w:r>
        <w:rPr>
          <w:rFonts w:hint="eastAsia" w:asciiTheme="minorEastAsia" w:hAnsiTheme="minorEastAsia" w:eastAsiaTheme="minorEastAsia" w:cstheme="minorEastAsia"/>
          <w:snapToGrid w:val="0"/>
        </w:rPr>
        <w:t>单位名称（盖企业鲜章）：</w:t>
      </w:r>
    </w:p>
    <w:p>
      <w:pPr>
        <w:snapToGrid w:val="0"/>
        <w:spacing w:line="360" w:lineRule="auto"/>
        <w:rPr>
          <w:rFonts w:hint="eastAsia" w:asciiTheme="minorEastAsia" w:hAnsiTheme="minorEastAsia" w:eastAsiaTheme="minorEastAsia" w:cstheme="minorEastAsia"/>
          <w:snapToGrid w:val="0"/>
        </w:rPr>
      </w:pPr>
      <w:r>
        <w:rPr>
          <w:rFonts w:hint="eastAsia" w:asciiTheme="minorEastAsia" w:hAnsiTheme="minorEastAsia" w:eastAsiaTheme="minorEastAsia" w:cstheme="minorEastAsia"/>
          <w:snapToGrid w:val="0"/>
        </w:rPr>
        <w:t xml:space="preserve">                      授权代表签字：</w:t>
      </w:r>
    </w:p>
    <w:p>
      <w:pPr>
        <w:snapToGrid w:val="0"/>
        <w:spacing w:line="360" w:lineRule="auto"/>
        <w:rPr>
          <w:rFonts w:hint="eastAsia" w:asciiTheme="minorEastAsia" w:hAnsiTheme="minorEastAsia" w:eastAsiaTheme="minorEastAsia" w:cstheme="minorEastAsia"/>
          <w:snapToGrid w:val="0"/>
        </w:rPr>
      </w:pPr>
      <w:r>
        <w:rPr>
          <w:rFonts w:hint="eastAsia" w:asciiTheme="minorEastAsia" w:hAnsiTheme="minorEastAsia" w:eastAsiaTheme="minorEastAsia" w:cstheme="minorEastAsia"/>
          <w:snapToGrid w:val="0"/>
        </w:rPr>
        <w:t xml:space="preserve">                      公司地址：</w:t>
      </w:r>
    </w:p>
    <w:p>
      <w:pPr>
        <w:snapToGrid w:val="0"/>
        <w:spacing w:line="360" w:lineRule="auto"/>
        <w:rPr>
          <w:rFonts w:hint="eastAsia" w:asciiTheme="minorEastAsia" w:hAnsiTheme="minorEastAsia" w:eastAsiaTheme="minorEastAsia" w:cstheme="minorEastAsia"/>
          <w:snapToGrid w:val="0"/>
        </w:rPr>
      </w:pPr>
      <w:r>
        <w:rPr>
          <w:rFonts w:hint="eastAsia" w:asciiTheme="minorEastAsia" w:hAnsiTheme="minorEastAsia" w:eastAsiaTheme="minorEastAsia" w:cstheme="minorEastAsia"/>
          <w:snapToGrid w:val="0"/>
        </w:rPr>
        <w:t xml:space="preserve">                      日    期：</w:t>
      </w:r>
    </w:p>
    <w:p>
      <w:pPr>
        <w:spacing w:line="360" w:lineRule="auto"/>
        <w:jc w:val="center"/>
        <w:rPr>
          <w:rFonts w:hint="eastAsia" w:asciiTheme="minorEastAsia" w:hAnsiTheme="minorEastAsia" w:eastAsiaTheme="minorEastAsia" w:cstheme="minorEastAsia"/>
          <w:b/>
          <w:snapToGrid w:val="0"/>
          <w:sz w:val="36"/>
          <w:szCs w:val="36"/>
        </w:rPr>
      </w:pPr>
      <w:r>
        <w:rPr>
          <w:rFonts w:hint="eastAsia" w:asciiTheme="minorEastAsia" w:hAnsiTheme="minorEastAsia" w:eastAsiaTheme="minorEastAsia" w:cstheme="minorEastAsia"/>
          <w:snapToGrid w:val="0"/>
        </w:rPr>
        <w:br w:type="page"/>
      </w:r>
      <w:r>
        <w:rPr>
          <w:rFonts w:hint="eastAsia" w:asciiTheme="minorEastAsia" w:hAnsiTheme="minorEastAsia" w:eastAsiaTheme="minorEastAsia" w:cstheme="minorEastAsia"/>
          <w:b/>
          <w:snapToGrid w:val="0"/>
          <w:sz w:val="36"/>
          <w:szCs w:val="36"/>
        </w:rPr>
        <w:t>资质证明文件</w:t>
      </w:r>
    </w:p>
    <w:p>
      <w:pPr>
        <w:jc w:val="center"/>
        <w:rPr>
          <w:rFonts w:hint="eastAsia" w:asciiTheme="minorEastAsia" w:hAnsiTheme="minorEastAsia" w:eastAsiaTheme="minorEastAsia" w:cstheme="minorEastAsia"/>
          <w:b/>
          <w:snapToGrid w:val="0"/>
          <w:sz w:val="36"/>
          <w:szCs w:val="36"/>
        </w:rPr>
      </w:pPr>
      <w:r>
        <w:rPr>
          <w:rFonts w:hint="eastAsia" w:asciiTheme="minorEastAsia" w:hAnsiTheme="minorEastAsia" w:eastAsiaTheme="minorEastAsia" w:cstheme="minorEastAsia"/>
        </w:rPr>
        <w:t>包括：企业资质证书（建筑施工企业提供）、营业执照、税务登记证、法人和授权代表身份证的复印件以及承诺书，加盖企业鲜章</w:t>
      </w:r>
    </w:p>
    <w:p>
      <w:pPr>
        <w:rPr>
          <w:rFonts w:ascii="仿宋_GB2312" w:hAnsi="宋体" w:eastAsia="仿宋_GB2312"/>
          <w:bCs/>
          <w:snapToGrid w:val="0"/>
          <w:color w:val="FF0000"/>
        </w:rPr>
      </w:pPr>
    </w:p>
    <w:p>
      <w:pPr>
        <w:rPr>
          <w:rFonts w:ascii="仿宋" w:hAnsi="仿宋" w:eastAsia="仿宋"/>
        </w:rPr>
      </w:pPr>
    </w:p>
    <w:p>
      <w:pPr>
        <w:spacing w:line="500" w:lineRule="exact"/>
        <w:ind w:firstLine="560" w:firstLineChars="200"/>
        <w:rPr>
          <w:rFonts w:ascii="仿宋" w:hAnsi="仿宋" w:eastAsia="仿宋"/>
          <w:color w:val="000000"/>
        </w:rPr>
      </w:pPr>
    </w:p>
    <w:p>
      <w:pPr>
        <w:pStyle w:val="2"/>
      </w:pPr>
    </w:p>
    <w:p>
      <w:pPr>
        <w:pStyle w:val="3"/>
        <w:ind w:firstLine="280"/>
      </w:pPr>
    </w:p>
    <w:p>
      <w:pPr>
        <w:pStyle w:val="3"/>
        <w:ind w:firstLine="280"/>
      </w:pPr>
    </w:p>
    <w:p>
      <w:pPr>
        <w:pStyle w:val="3"/>
        <w:ind w:firstLine="280"/>
      </w:pPr>
    </w:p>
    <w:p>
      <w:pPr>
        <w:pStyle w:val="3"/>
        <w:ind w:firstLine="280"/>
      </w:pPr>
    </w:p>
    <w:p>
      <w:pPr>
        <w:pStyle w:val="3"/>
        <w:ind w:firstLine="280"/>
      </w:pPr>
    </w:p>
    <w:p>
      <w:pPr>
        <w:pStyle w:val="3"/>
        <w:ind w:firstLine="280"/>
      </w:pPr>
    </w:p>
    <w:p>
      <w:pPr>
        <w:pStyle w:val="3"/>
        <w:ind w:firstLine="280"/>
      </w:pPr>
    </w:p>
    <w:p>
      <w:pPr>
        <w:pStyle w:val="3"/>
        <w:ind w:firstLine="280"/>
      </w:pPr>
    </w:p>
    <w:p>
      <w:pPr>
        <w:pStyle w:val="3"/>
        <w:ind w:firstLine="280"/>
      </w:pPr>
    </w:p>
    <w:p>
      <w:pPr>
        <w:pStyle w:val="3"/>
        <w:ind w:firstLine="280"/>
      </w:pPr>
    </w:p>
    <w:p>
      <w:pPr>
        <w:pStyle w:val="3"/>
        <w:ind w:firstLine="280"/>
      </w:pPr>
    </w:p>
    <w:p>
      <w:pPr>
        <w:pStyle w:val="3"/>
        <w:ind w:firstLine="280"/>
      </w:pPr>
    </w:p>
    <w:p>
      <w:pPr>
        <w:pStyle w:val="3"/>
        <w:ind w:firstLine="0" w:firstLineChars="0"/>
        <w:jc w:val="left"/>
      </w:pPr>
    </w:p>
    <w:p>
      <w:pPr>
        <w:pageBreakBefore/>
        <w:spacing w:line="360" w:lineRule="auto"/>
        <w:ind w:right="482"/>
        <w:jc w:val="center"/>
        <w:outlineLvl w:val="1"/>
        <w:rPr>
          <w:rFonts w:ascii="华文宋体" w:hAnsi="华文宋体" w:eastAsia="华文宋体" w:cs="华文宋体"/>
          <w:b/>
          <w:color w:val="000000"/>
          <w:sz w:val="32"/>
          <w:szCs w:val="32"/>
        </w:rPr>
      </w:pPr>
      <w:r>
        <w:rPr>
          <w:rFonts w:hint="eastAsia" w:ascii="华文宋体" w:hAnsi="华文宋体" w:eastAsia="华文宋体" w:cs="华文宋体"/>
          <w:b/>
          <w:color w:val="000000"/>
          <w:sz w:val="32"/>
          <w:szCs w:val="32"/>
        </w:rPr>
        <w:t>四川省邛崃监狱</w:t>
      </w:r>
      <w:r>
        <w:rPr>
          <w:rFonts w:hint="eastAsia" w:ascii="华文宋体" w:hAnsi="华文宋体" w:eastAsia="华文宋体" w:cs="华文宋体"/>
          <w:b/>
          <w:color w:val="000000"/>
          <w:sz w:val="32"/>
          <w:szCs w:val="32"/>
          <w:lang w:eastAsia="zh-CN"/>
        </w:rPr>
        <w:t>，</w:t>
      </w:r>
      <w:r>
        <w:rPr>
          <w:rFonts w:hint="eastAsia" w:ascii="华文宋体" w:hAnsi="华文宋体" w:eastAsia="华文宋体" w:cs="华文宋体"/>
          <w:b/>
          <w:color w:val="000000"/>
          <w:sz w:val="32"/>
          <w:szCs w:val="32"/>
        </w:rPr>
        <w:t>四川省南宝山服饰有限公司日常定点维修企业采购项目二次报价表</w:t>
      </w:r>
    </w:p>
    <w:p>
      <w:pPr>
        <w:pStyle w:val="2"/>
        <w:jc w:val="center"/>
      </w:pPr>
    </w:p>
    <w:tbl>
      <w:tblPr>
        <w:tblStyle w:val="7"/>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9"/>
        <w:gridCol w:w="6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2959" w:type="dxa"/>
            <w:noWrap/>
            <w:vAlign w:val="center"/>
          </w:tcPr>
          <w:p>
            <w:pPr>
              <w:snapToGrid w:val="0"/>
              <w:spacing w:line="276" w:lineRule="auto"/>
              <w:jc w:val="center"/>
              <w:rPr>
                <w:rFonts w:ascii="华文宋体" w:hAnsi="华文宋体" w:eastAsia="华文宋体"/>
                <w:color w:val="000000"/>
              </w:rPr>
            </w:pPr>
            <w:r>
              <w:rPr>
                <w:rFonts w:hint="eastAsia" w:ascii="华文宋体" w:hAnsi="华文宋体" w:eastAsia="华文宋体"/>
                <w:color w:val="000000"/>
              </w:rPr>
              <w:t>采购项目名称</w:t>
            </w:r>
          </w:p>
        </w:tc>
        <w:tc>
          <w:tcPr>
            <w:tcW w:w="6685" w:type="dxa"/>
            <w:noWrap/>
            <w:vAlign w:val="bottom"/>
          </w:tcPr>
          <w:p>
            <w:pPr>
              <w:snapToGrid w:val="0"/>
              <w:spacing w:line="276" w:lineRule="auto"/>
              <w:ind w:right="140"/>
              <w:rPr>
                <w:rFonts w:ascii="宋体" w:hAnsi="宋体" w:cs="宋体"/>
                <w:color w:val="000000"/>
              </w:rPr>
            </w:pPr>
            <w:r>
              <w:rPr>
                <w:rFonts w:hint="eastAsia" w:ascii="宋体" w:hAnsi="宋体" w:cs="宋体"/>
                <w:color w:val="000000"/>
              </w:rPr>
              <w:t>四川省邛崃监狱</w:t>
            </w:r>
            <w:r>
              <w:rPr>
                <w:rFonts w:hint="eastAsia" w:ascii="宋体" w:hAnsi="宋体" w:cs="宋体"/>
                <w:color w:val="000000"/>
                <w:lang w:eastAsia="zh-CN"/>
              </w:rPr>
              <w:t>，</w:t>
            </w:r>
            <w:r>
              <w:rPr>
                <w:rFonts w:hint="eastAsia" w:ascii="宋体" w:hAnsi="宋体" w:cs="宋体"/>
                <w:color w:val="000000"/>
              </w:rPr>
              <w:t>四川省南宝山服饰有限公司日常定点维修企业采购项目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2959" w:type="dxa"/>
            <w:noWrap/>
            <w:vAlign w:val="center"/>
          </w:tcPr>
          <w:p>
            <w:pPr>
              <w:snapToGrid w:val="0"/>
              <w:spacing w:line="276" w:lineRule="auto"/>
              <w:jc w:val="center"/>
              <w:rPr>
                <w:rFonts w:ascii="华文宋体" w:hAnsi="华文宋体" w:eastAsia="华文宋体"/>
                <w:color w:val="000000"/>
              </w:rPr>
            </w:pPr>
            <w:r>
              <w:rPr>
                <w:rFonts w:hint="eastAsia" w:ascii="华文宋体" w:hAnsi="华文宋体" w:eastAsia="华文宋体"/>
                <w:color w:val="000000"/>
              </w:rPr>
              <w:t>二次报价为</w:t>
            </w:r>
          </w:p>
        </w:tc>
        <w:tc>
          <w:tcPr>
            <w:tcW w:w="6685" w:type="dxa"/>
            <w:noWrap/>
            <w:vAlign w:val="center"/>
          </w:tcPr>
          <w:p>
            <w:pPr>
              <w:snapToGrid w:val="0"/>
              <w:spacing w:line="276" w:lineRule="auto"/>
              <w:jc w:val="center"/>
              <w:rPr>
                <w:rFonts w:ascii="宋体" w:hAnsi="宋体" w:cs="宋体"/>
                <w:color w:val="000000"/>
              </w:rPr>
            </w:pPr>
            <w:r>
              <w:rPr>
                <w:rFonts w:hint="eastAsia" w:ascii="宋体" w:hAnsi="宋体" w:cs="宋体"/>
                <w:color w:val="000000"/>
              </w:rPr>
              <w:t>结算价下浮优惠率为</w:t>
            </w:r>
            <w:r>
              <w:rPr>
                <w:rFonts w:hint="eastAsia" w:ascii="宋体" w:hAnsi="宋体" w:cs="宋体"/>
                <w:color w:val="000000"/>
                <w:u w:val="single"/>
              </w:rPr>
              <w:t xml:space="preserve">   </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959" w:type="dxa"/>
            <w:noWrap/>
            <w:vAlign w:val="center"/>
          </w:tcPr>
          <w:p>
            <w:pPr>
              <w:snapToGrid w:val="0"/>
              <w:spacing w:line="276" w:lineRule="auto"/>
              <w:jc w:val="center"/>
              <w:rPr>
                <w:rFonts w:ascii="华文宋体" w:hAnsi="华文宋体" w:eastAsia="华文宋体"/>
                <w:color w:val="000000"/>
              </w:rPr>
            </w:pPr>
            <w:r>
              <w:rPr>
                <w:rFonts w:hint="eastAsia" w:ascii="华文宋体" w:hAnsi="华文宋体" w:eastAsia="华文宋体"/>
                <w:color w:val="000000"/>
              </w:rPr>
              <w:t>备注</w:t>
            </w:r>
          </w:p>
        </w:tc>
        <w:tc>
          <w:tcPr>
            <w:tcW w:w="6685" w:type="dxa"/>
            <w:noWrap/>
            <w:vAlign w:val="center"/>
          </w:tcPr>
          <w:p>
            <w:pPr>
              <w:snapToGrid w:val="0"/>
              <w:spacing w:line="276" w:lineRule="auto"/>
              <w:rPr>
                <w:rFonts w:ascii="宋体" w:hAnsi="宋体" w:cs="宋体"/>
                <w:color w:val="000000"/>
              </w:rPr>
            </w:pPr>
          </w:p>
        </w:tc>
      </w:tr>
    </w:tbl>
    <w:p>
      <w:pPr>
        <w:rPr>
          <w:rFonts w:ascii="华文宋体" w:hAnsi="华文宋体" w:eastAsia="华文宋体" w:cs="华文宋体"/>
          <w:color w:val="000000"/>
        </w:rPr>
      </w:pPr>
    </w:p>
    <w:p>
      <w:pPr>
        <w:spacing w:line="360" w:lineRule="auto"/>
        <w:ind w:firstLine="560" w:firstLineChars="200"/>
        <w:rPr>
          <w:rFonts w:ascii="华文宋体" w:hAnsi="华文宋体" w:eastAsia="华文宋体" w:cs="华文宋体"/>
          <w:color w:val="000000"/>
        </w:rPr>
      </w:pPr>
      <w:r>
        <w:rPr>
          <w:rFonts w:hint="eastAsia" w:ascii="华文宋体" w:hAnsi="华文宋体" w:eastAsia="华文宋体" w:cs="华文宋体"/>
          <w:color w:val="000000"/>
        </w:rPr>
        <w:t>供应商名称：</w:t>
      </w:r>
    </w:p>
    <w:p>
      <w:pPr>
        <w:pStyle w:val="12"/>
        <w:rPr>
          <w:rFonts w:ascii="华文宋体" w:hAnsi="华文宋体" w:eastAsia="华文宋体" w:cs="华文宋体"/>
          <w:color w:val="000000"/>
          <w:kern w:val="0"/>
          <w:sz w:val="24"/>
          <w:szCs w:val="24"/>
          <w:u w:val="single"/>
        </w:rPr>
      </w:pPr>
      <w:r>
        <w:rPr>
          <w:rFonts w:hint="eastAsia" w:ascii="华文宋体" w:hAnsi="华文宋体" w:eastAsia="华文宋体" w:cs="华文宋体"/>
          <w:color w:val="000000"/>
          <w:sz w:val="24"/>
        </w:rPr>
        <w:t>法定代表人/单位负责人或授权代表（签字或加盖个人印章）</w:t>
      </w:r>
      <w:r>
        <w:rPr>
          <w:rFonts w:hint="eastAsia" w:ascii="华文宋体" w:hAnsi="华文宋体" w:eastAsia="华文宋体" w:cs="华文宋体"/>
          <w:color w:val="000000"/>
          <w:kern w:val="0"/>
          <w:sz w:val="24"/>
          <w:szCs w:val="24"/>
        </w:rPr>
        <w:t>：</w:t>
      </w:r>
    </w:p>
    <w:p>
      <w:pPr>
        <w:pStyle w:val="12"/>
        <w:snapToGrid w:val="0"/>
        <w:rPr>
          <w:rFonts w:ascii="华文宋体" w:hAnsi="华文宋体" w:eastAsia="华文宋体" w:cs="华文宋体"/>
          <w:color w:val="000000"/>
          <w:kern w:val="0"/>
          <w:sz w:val="24"/>
          <w:szCs w:val="24"/>
        </w:rPr>
      </w:pPr>
      <w:r>
        <w:rPr>
          <w:rFonts w:hint="eastAsia" w:ascii="华文宋体" w:hAnsi="华文宋体" w:eastAsia="华文宋体" w:cs="华文宋体"/>
          <w:color w:val="000000"/>
          <w:kern w:val="0"/>
          <w:sz w:val="24"/>
          <w:szCs w:val="24"/>
        </w:rPr>
        <w:t>日期：</w:t>
      </w:r>
    </w:p>
    <w:p>
      <w:pPr>
        <w:pStyle w:val="12"/>
        <w:snapToGrid w:val="0"/>
        <w:spacing w:line="276" w:lineRule="auto"/>
        <w:ind w:firstLine="551"/>
        <w:rPr>
          <w:rFonts w:ascii="华文宋体" w:hAnsi="华文宋体" w:eastAsia="华文宋体" w:cs="华文宋体"/>
          <w:color w:val="000000"/>
          <w:kern w:val="0"/>
          <w:sz w:val="24"/>
          <w:szCs w:val="24"/>
        </w:rPr>
      </w:pPr>
    </w:p>
    <w:p>
      <w:pPr>
        <w:pStyle w:val="12"/>
        <w:snapToGrid w:val="0"/>
        <w:spacing w:line="276" w:lineRule="auto"/>
        <w:ind w:firstLine="480" w:firstLineChars="200"/>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注：</w:t>
      </w:r>
    </w:p>
    <w:p>
      <w:pPr>
        <w:pStyle w:val="12"/>
        <w:snapToGrid w:val="0"/>
        <w:spacing w:line="276" w:lineRule="auto"/>
        <w:ind w:firstLine="480" w:firstLineChars="200"/>
        <w:rPr>
          <w:rFonts w:ascii="华文宋体" w:hAnsi="华文宋体" w:eastAsia="华文宋体" w:cs="华文宋体"/>
          <w:color w:val="000000" w:themeColor="text1"/>
          <w:sz w:val="24"/>
          <w:szCs w:val="24"/>
        </w:rPr>
      </w:pPr>
      <w:r>
        <w:rPr>
          <w:rFonts w:hint="eastAsia" w:ascii="华文宋体" w:hAnsi="华文宋体" w:eastAsia="华文宋体" w:cs="华文宋体"/>
          <w:color w:val="000000" w:themeColor="text1"/>
          <w:sz w:val="24"/>
          <w:szCs w:val="24"/>
        </w:rPr>
        <w:t>1、二次报价结算价下浮优惠比例不超过7%，超过为无效报价，为废标。</w:t>
      </w:r>
    </w:p>
    <w:p>
      <w:pPr>
        <w:pStyle w:val="12"/>
        <w:snapToGrid w:val="0"/>
        <w:spacing w:line="276" w:lineRule="auto"/>
        <w:ind w:firstLine="480" w:firstLineChars="200"/>
        <w:rPr>
          <w:rFonts w:ascii="华文宋体" w:hAnsi="华文宋体" w:eastAsia="华文宋体" w:cs="华文宋体"/>
          <w:color w:val="000000" w:themeColor="text1"/>
          <w:sz w:val="24"/>
          <w:szCs w:val="24"/>
        </w:rPr>
      </w:pPr>
      <w:r>
        <w:rPr>
          <w:rFonts w:hint="eastAsia" w:ascii="华文宋体" w:hAnsi="华文宋体" w:eastAsia="华文宋体" w:cs="华文宋体"/>
          <w:color w:val="000000" w:themeColor="text1"/>
          <w:sz w:val="24"/>
          <w:szCs w:val="24"/>
        </w:rPr>
        <w:t>2、</w:t>
      </w:r>
      <w:r>
        <w:rPr>
          <w:rFonts w:hint="eastAsia" w:ascii="华文宋体" w:hAnsi="华文宋体" w:eastAsia="华文宋体" w:cs="华文宋体"/>
          <w:color w:val="000000" w:themeColor="text1"/>
          <w:sz w:val="24"/>
          <w:szCs w:val="24"/>
          <w:lang w:eastAsia="zh-CN"/>
        </w:rPr>
        <w:t>谈判</w:t>
      </w:r>
      <w:r>
        <w:rPr>
          <w:rFonts w:hint="eastAsia" w:ascii="华文宋体" w:hAnsi="华文宋体" w:eastAsia="华文宋体" w:cs="华文宋体"/>
          <w:color w:val="000000" w:themeColor="text1"/>
          <w:sz w:val="24"/>
          <w:szCs w:val="24"/>
        </w:rPr>
        <w:t>结束时，采购人现场工作人员向通符合本次采购要求的被邀请供应商发放 “二次报价表”，经供应商法定代表人</w:t>
      </w:r>
      <w:r>
        <w:rPr>
          <w:rFonts w:hint="eastAsia" w:ascii="华文宋体" w:hAnsi="华文宋体" w:eastAsia="华文宋体" w:cs="华文宋体"/>
          <w:color w:val="000000" w:themeColor="text1"/>
          <w:sz w:val="24"/>
        </w:rPr>
        <w:t>/单位负责人</w:t>
      </w:r>
      <w:r>
        <w:rPr>
          <w:rFonts w:hint="eastAsia" w:ascii="华文宋体" w:hAnsi="华文宋体" w:eastAsia="华文宋体" w:cs="华文宋体"/>
          <w:color w:val="000000" w:themeColor="text1"/>
          <w:sz w:val="24"/>
          <w:szCs w:val="24"/>
        </w:rPr>
        <w:t>或代理人按要求填写二次报价后递交给采购人现场工作人员，由其收集齐后集中递交评审小组。供应商在响应文件中提交此表的，不影响其响应文件的有效性，其最后报价以磋商结束后提交的“最后报价表”为准。</w:t>
      </w:r>
    </w:p>
    <w:p/>
    <w:sectPr>
      <w:pgSz w:w="11906" w:h="16838"/>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BE9"/>
    <w:rsid w:val="000A2BE9"/>
    <w:rsid w:val="000C19B6"/>
    <w:rsid w:val="000E6017"/>
    <w:rsid w:val="00307455"/>
    <w:rsid w:val="00361289"/>
    <w:rsid w:val="003F6C20"/>
    <w:rsid w:val="00690F0E"/>
    <w:rsid w:val="006C51CD"/>
    <w:rsid w:val="00740B06"/>
    <w:rsid w:val="007C6EF0"/>
    <w:rsid w:val="0084556E"/>
    <w:rsid w:val="00910268"/>
    <w:rsid w:val="00951881"/>
    <w:rsid w:val="009E7D14"/>
    <w:rsid w:val="00A50B99"/>
    <w:rsid w:val="00B57C1E"/>
    <w:rsid w:val="00BD4680"/>
    <w:rsid w:val="00BE0861"/>
    <w:rsid w:val="00C37E43"/>
    <w:rsid w:val="3BB474E7"/>
    <w:rsid w:val="55673D2C"/>
    <w:rsid w:val="58FD6C29"/>
    <w:rsid w:val="67863026"/>
    <w:rsid w:val="693543D9"/>
    <w:rsid w:val="7AF8ACF4"/>
    <w:rsid w:val="7FBE0274"/>
    <w:rsid w:val="FBBF0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
    <w:qFormat/>
    <w:uiPriority w:val="0"/>
    <w:pPr>
      <w:spacing w:after="120"/>
    </w:pPr>
  </w:style>
  <w:style w:type="paragraph" w:styleId="3">
    <w:name w:val="Body Text First Indent"/>
    <w:basedOn w:val="2"/>
    <w:link w:val="10"/>
    <w:qFormat/>
    <w:uiPriority w:val="99"/>
    <w:pPr>
      <w:ind w:firstLine="420" w:firstLineChars="100"/>
    </w:pPr>
  </w:style>
  <w:style w:type="paragraph" w:styleId="4">
    <w:name w:val="footer"/>
    <w:basedOn w:val="1"/>
    <w:link w:val="15"/>
    <w:semiHidden/>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3"/>
    <w:qFormat/>
    <w:uiPriority w:val="0"/>
    <w:pPr>
      <w:spacing w:after="120" w:line="480" w:lineRule="auto"/>
    </w:pPr>
  </w:style>
  <w:style w:type="character" w:customStyle="1" w:styleId="9">
    <w:name w:val="正文文本 Char"/>
    <w:basedOn w:val="8"/>
    <w:link w:val="2"/>
    <w:qFormat/>
    <w:uiPriority w:val="0"/>
    <w:rPr>
      <w:rFonts w:ascii="Times New Roman" w:hAnsi="Times New Roman" w:eastAsia="宋体" w:cs="Times New Roman"/>
      <w:sz w:val="28"/>
      <w:szCs w:val="28"/>
    </w:rPr>
  </w:style>
  <w:style w:type="character" w:customStyle="1" w:styleId="10">
    <w:name w:val="正文首行缩进 Char"/>
    <w:basedOn w:val="9"/>
    <w:link w:val="3"/>
    <w:qFormat/>
    <w:uiPriority w:val="99"/>
  </w:style>
  <w:style w:type="paragraph" w:customStyle="1" w:styleId="11">
    <w:name w:val="标题 5（有编号）（绿盟科技）"/>
    <w:basedOn w:val="1"/>
    <w:next w:val="1"/>
    <w:qFormat/>
    <w:uiPriority w:val="99"/>
    <w:pPr>
      <w:keepNext/>
      <w:keepLines/>
      <w:widowControl/>
      <w:spacing w:before="280" w:after="156" w:line="377" w:lineRule="auto"/>
      <w:jc w:val="left"/>
      <w:outlineLvl w:val="4"/>
    </w:pPr>
    <w:rPr>
      <w:rFonts w:ascii="Arial" w:hAnsi="Arial" w:eastAsia="黑体" w:cs="Arial"/>
      <w:b/>
      <w:bCs/>
      <w:kern w:val="0"/>
      <w:sz w:val="24"/>
      <w:szCs w:val="24"/>
    </w:rPr>
  </w:style>
  <w:style w:type="paragraph" w:customStyle="1" w:styleId="12">
    <w:name w:val="CD正文"/>
    <w:basedOn w:val="1"/>
    <w:qFormat/>
    <w:uiPriority w:val="0"/>
    <w:pPr>
      <w:spacing w:line="360" w:lineRule="auto"/>
      <w:ind w:firstLine="493"/>
      <w:jc w:val="left"/>
    </w:pPr>
    <w:rPr>
      <w:rFonts w:ascii="Calibri" w:hAnsi="Calibri"/>
      <w:sz w:val="30"/>
    </w:rPr>
  </w:style>
  <w:style w:type="character" w:customStyle="1" w:styleId="13">
    <w:name w:val="正文文本 2 Char"/>
    <w:basedOn w:val="8"/>
    <w:link w:val="6"/>
    <w:qFormat/>
    <w:uiPriority w:val="0"/>
    <w:rPr>
      <w:rFonts w:ascii="Times New Roman" w:hAnsi="Times New Roman" w:eastAsia="宋体" w:cs="Times New Roman"/>
      <w:sz w:val="28"/>
      <w:szCs w:val="28"/>
    </w:rPr>
  </w:style>
  <w:style w:type="character" w:customStyle="1" w:styleId="14">
    <w:name w:val="页眉 Char"/>
    <w:basedOn w:val="8"/>
    <w:link w:val="5"/>
    <w:semiHidden/>
    <w:qFormat/>
    <w:uiPriority w:val="99"/>
    <w:rPr>
      <w:rFonts w:ascii="Times New Roman" w:hAnsi="Times New Roman" w:eastAsia="宋体" w:cs="Times New Roman"/>
      <w:sz w:val="18"/>
      <w:szCs w:val="18"/>
    </w:rPr>
  </w:style>
  <w:style w:type="character" w:customStyle="1" w:styleId="15">
    <w:name w:val="页脚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494</Words>
  <Characters>2818</Characters>
  <Lines>23</Lines>
  <Paragraphs>6</Paragraphs>
  <TotalTime>1</TotalTime>
  <ScaleCrop>false</ScaleCrop>
  <LinksUpToDate>false</LinksUpToDate>
  <CharactersWithSpaces>3306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2025-07-05T02:29:00Z</dcterms:created>
  <dc:creator>admin</dc:creator>
  <cp:lastModifiedBy>AOC</cp:lastModifiedBy>
  <dcterms:modified xsi:type="dcterms:W3CDTF">2025-07-11T03:40:02Z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A95016115D788FF45ABB6C68A5C0674A</vt:lpwstr>
  </property>
</Properties>
</file>