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sz w:val="72"/>
          <w:szCs w:val="72"/>
        </w:rPr>
        <w:t>竞争性谈判文件</w:t>
      </w:r>
    </w:p>
    <w:p>
      <w:pPr>
        <w:jc w:val="center"/>
        <w:rPr>
          <w:rFonts w:asciiTheme="majorEastAsia" w:hAnsiTheme="majorEastAsia" w:eastAsiaTheme="majorEastAsia" w:cstheme="majorEastAsia"/>
          <w:sz w:val="72"/>
          <w:szCs w:val="72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 xml:space="preserve"> 项目名称：四川省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南宝山服饰有限公司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文稿内容安全检查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服务采购项目</w:t>
      </w:r>
    </w:p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b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编号：202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 xml:space="preserve">- 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Q022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四川省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南宝山服饰有限公司</w:t>
      </w:r>
    </w:p>
    <w:p>
      <w:pPr>
        <w:ind w:firstLine="3054" w:firstLineChars="845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月</w:t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</w:rPr>
        <w:br w:type="page"/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  <w:snapToGrid w:val="0"/>
          <w:sz w:val="36"/>
        </w:rPr>
      </w:pPr>
      <w:bookmarkStart w:id="0" w:name="_Toc227144287"/>
    </w:p>
    <w:bookmarkEnd w:id="0"/>
    <w:p>
      <w:pPr>
        <w:spacing w:line="800" w:lineRule="exact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目   录</w:t>
      </w:r>
    </w:p>
    <w:p>
      <w:pPr>
        <w:spacing w:line="800" w:lineRule="exact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第一部分   谈判邀请（公告）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第二部分   谈判须知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第三部分   报价文件格式</w:t>
      </w: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第一部分  谈判邀请（公告）</w:t>
      </w:r>
    </w:p>
    <w:p>
      <w:pPr>
        <w:ind w:right="720" w:firstLine="980" w:firstLineChars="350"/>
        <w:rPr>
          <w:rFonts w:asciiTheme="majorEastAsia" w:hAnsiTheme="majorEastAsia" w:eastAsiaTheme="majorEastAsia" w:cstheme="majorEastAsia"/>
          <w:snapToGrid w:val="0"/>
        </w:rPr>
      </w:pPr>
    </w:p>
    <w:p>
      <w:pPr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根据四川省</w:t>
      </w:r>
      <w:r>
        <w:rPr>
          <w:rFonts w:hint="eastAsia" w:asciiTheme="majorEastAsia" w:hAnsiTheme="majorEastAsia" w:eastAsiaTheme="majorEastAsia" w:cstheme="majorEastAsia"/>
          <w:lang w:eastAsia="zh-CN"/>
        </w:rPr>
        <w:t>南宝山服饰有限公司</w:t>
      </w:r>
      <w:r>
        <w:rPr>
          <w:rFonts w:hint="eastAsia" w:asciiTheme="majorEastAsia" w:hAnsiTheme="majorEastAsia" w:eastAsiaTheme="majorEastAsia" w:cstheme="majorEastAsia"/>
        </w:rPr>
        <w:t>总体工作安排，拟开展四川省</w:t>
      </w:r>
      <w:r>
        <w:rPr>
          <w:rFonts w:hint="eastAsia" w:asciiTheme="majorEastAsia" w:hAnsiTheme="majorEastAsia" w:eastAsiaTheme="majorEastAsia" w:cstheme="majorEastAsia"/>
          <w:lang w:eastAsia="zh-CN"/>
        </w:rPr>
        <w:t>南宝山服饰有限公司</w:t>
      </w:r>
      <w:r>
        <w:rPr>
          <w:rFonts w:hint="eastAsia" w:asciiTheme="majorEastAsia" w:hAnsiTheme="majorEastAsia" w:eastAsiaTheme="majorEastAsia" w:cstheme="majorEastAsia"/>
        </w:rPr>
        <w:t>文稿内容安全检查</w:t>
      </w:r>
      <w:r>
        <w:rPr>
          <w:rFonts w:hint="eastAsia" w:asciiTheme="majorEastAsia" w:hAnsiTheme="majorEastAsia" w:eastAsiaTheme="majorEastAsia" w:cstheme="majorEastAsia"/>
          <w:bCs/>
        </w:rPr>
        <w:t>服务</w:t>
      </w:r>
      <w:r>
        <w:rPr>
          <w:rFonts w:hint="eastAsia" w:asciiTheme="majorEastAsia" w:hAnsiTheme="majorEastAsia" w:eastAsiaTheme="majorEastAsia" w:cstheme="majorEastAsia"/>
        </w:rPr>
        <w:t>采购。现通过竞争性谈判的形式，邀请有资质的供应商参与谈判。</w:t>
      </w:r>
    </w:p>
    <w:p>
      <w:pPr>
        <w:adjustRightInd w:val="0"/>
        <w:ind w:right="720" w:firstLine="560" w:firstLineChars="200"/>
        <w:textAlignment w:val="baseline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一、项目名称：四川省</w:t>
      </w:r>
      <w:r>
        <w:rPr>
          <w:rFonts w:hint="eastAsia" w:asciiTheme="majorEastAsia" w:hAnsiTheme="majorEastAsia" w:eastAsiaTheme="majorEastAsia" w:cstheme="majorEastAsia"/>
          <w:lang w:eastAsia="zh-CN"/>
        </w:rPr>
        <w:t>南宝山服饰有限公司</w:t>
      </w:r>
      <w:r>
        <w:rPr>
          <w:rFonts w:hint="eastAsia" w:asciiTheme="majorEastAsia" w:hAnsiTheme="majorEastAsia" w:eastAsiaTheme="majorEastAsia" w:cstheme="majorEastAsia"/>
        </w:rPr>
        <w:t>文稿内容安全检查</w:t>
      </w:r>
      <w:r>
        <w:rPr>
          <w:rFonts w:hint="eastAsia" w:asciiTheme="majorEastAsia" w:hAnsiTheme="majorEastAsia" w:eastAsiaTheme="majorEastAsia" w:cstheme="majorEastAsia"/>
          <w:bCs/>
        </w:rPr>
        <w:t>服务</w:t>
      </w:r>
      <w:r>
        <w:rPr>
          <w:rFonts w:hint="eastAsia" w:asciiTheme="majorEastAsia" w:hAnsiTheme="majorEastAsia" w:eastAsiaTheme="majorEastAsia" w:cstheme="majorEastAsia"/>
        </w:rPr>
        <w:t>采购项目</w:t>
      </w:r>
    </w:p>
    <w:p>
      <w:pPr>
        <w:adjustRightInd w:val="0"/>
        <w:ind w:right="720" w:firstLine="560" w:firstLineChars="200"/>
        <w:textAlignment w:val="baseline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二、方式：竞争性谈判</w:t>
      </w:r>
    </w:p>
    <w:p>
      <w:pPr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三、评选方式：按预算金额，资质符合，价格最低者中选。谈判被邀请人数量：至少邀请3家符合资质的供应商。</w:t>
      </w:r>
    </w:p>
    <w:p>
      <w:pPr>
        <w:ind w:right="720"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四、预算金额：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30000.00</w:t>
      </w:r>
      <w:r>
        <w:rPr>
          <w:rFonts w:hint="eastAsia" w:asciiTheme="majorEastAsia" w:hAnsiTheme="majorEastAsia" w:eastAsiaTheme="majorEastAsia" w:cstheme="majorEastAsia"/>
        </w:rPr>
        <w:t>元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/年（服务期3年，合同一年一签）</w:t>
      </w:r>
      <w:r>
        <w:rPr>
          <w:rFonts w:hint="eastAsia" w:asciiTheme="majorEastAsia" w:hAnsiTheme="majorEastAsia" w:eastAsiaTheme="majorEastAsia" w:cstheme="majorEastAsia"/>
        </w:rPr>
        <w:t>。投标报价不得高于控制价，否则为废标。本次项目为二次报价，以第二次报价为最终报价。</w:t>
      </w:r>
    </w:p>
    <w:p>
      <w:pPr>
        <w:ind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六、投标资质：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</w:rPr>
        <w:t>1、在中华人民共和国境内注册，具有独立承担民事责任能力的企业法人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,近三年内无违法违纪记录（承诺函）；</w:t>
      </w:r>
    </w:p>
    <w:p>
      <w:pPr>
        <w:pStyle w:val="5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 xml:space="preserve">    2、具有良好商业信誉和健全的财务会计制度；</w:t>
      </w:r>
    </w:p>
    <w:p>
      <w:pPr>
        <w:pStyle w:val="5"/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560" w:firstLineChars="200"/>
        <w:textAlignment w:val="baseline"/>
        <w:rPr>
          <w:rFonts w:hint="eastAsia"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>3、</w:t>
      </w:r>
      <w:r>
        <w:rPr>
          <w:color w:val="000000"/>
          <w:sz w:val="32"/>
          <w:szCs w:val="32"/>
        </w:rPr>
        <w:t>具备有效的计算机信息系统集成及</w:t>
      </w:r>
      <w:r>
        <w:rPr>
          <w:rFonts w:hint="eastAsia"/>
          <w:color w:val="000000"/>
          <w:sz w:val="32"/>
          <w:szCs w:val="32"/>
        </w:rPr>
        <w:t>以及软件开发</w:t>
      </w:r>
      <w:r>
        <w:rPr>
          <w:color w:val="000000"/>
          <w:sz w:val="32"/>
          <w:szCs w:val="32"/>
        </w:rPr>
        <w:t>服务资质，其经营范围应包含</w:t>
      </w:r>
      <w:r>
        <w:rPr>
          <w:rFonts w:hint="eastAsia"/>
          <w:color w:val="000000"/>
          <w:sz w:val="32"/>
          <w:szCs w:val="32"/>
        </w:rPr>
        <w:t>计算机系统集成以及计算机软件开发</w:t>
      </w:r>
      <w:r>
        <w:rPr>
          <w:color w:val="000000"/>
          <w:sz w:val="32"/>
          <w:szCs w:val="32"/>
        </w:rPr>
        <w:t>服务相关内容；</w:t>
      </w:r>
    </w:p>
    <w:p>
      <w:pPr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lang w:val="en-US" w:eastAsia="zh-CN"/>
        </w:rPr>
        <w:t>4、</w:t>
      </w:r>
      <w:r>
        <w:rPr>
          <w:rFonts w:asciiTheme="majorEastAsia" w:hAnsiTheme="majorEastAsia" w:eastAsiaTheme="majorEastAsia" w:cstheme="majorEastAsia"/>
        </w:rPr>
        <w:t xml:space="preserve"> 本项目不接受联合体参与报价。</w:t>
      </w:r>
    </w:p>
    <w:p>
      <w:pPr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七、投标规定：</w:t>
      </w:r>
    </w:p>
    <w:p>
      <w:pPr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1、谈判地点：邛崃市临邛镇大东街669号生产工作洽谈室。</w:t>
      </w:r>
    </w:p>
    <w:p>
      <w:pPr>
        <w:pStyle w:val="9"/>
        <w:ind w:firstLine="560" w:firstLineChars="200"/>
        <w:rPr>
          <w:rFonts w:asciiTheme="majorEastAsia" w:hAnsiTheme="majorEastAsia" w:eastAsiaTheme="majorEastAsia" w:cstheme="majorEastAsia"/>
          <w:bCs/>
        </w:rPr>
      </w:pPr>
      <w:r>
        <w:rPr>
          <w:rFonts w:hint="eastAsia" w:asciiTheme="majorEastAsia" w:hAnsiTheme="majorEastAsia" w:eastAsiaTheme="majorEastAsia" w:cstheme="majorEastAsia"/>
        </w:rPr>
        <w:t>2．授权代表（可由法人代表担任）须准时到会，出示身份证原件并签名以示出席，否则，其投标将被拒绝；</w:t>
      </w:r>
    </w:p>
    <w:p>
      <w:pPr>
        <w:pStyle w:val="9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</w:rPr>
        <w:t>3</w:t>
      </w:r>
      <w:r>
        <w:rPr>
          <w:rFonts w:hint="eastAsia" w:asciiTheme="majorEastAsia" w:hAnsiTheme="majorEastAsia" w:eastAsiaTheme="majorEastAsia" w:cstheme="majorEastAsia"/>
          <w:lang w:val="zh-CN"/>
        </w:rPr>
        <w:t>.谈判谈判响应文件份数：正本壹份。</w:t>
      </w:r>
    </w:p>
    <w:p>
      <w:pPr>
        <w:pStyle w:val="9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  <w:lang w:val="zh-CN"/>
        </w:rPr>
        <w:t>八、谈判公告</w:t>
      </w:r>
    </w:p>
    <w:tbl>
      <w:tblPr>
        <w:tblStyle w:val="10"/>
        <w:tblW w:w="878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5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采购项目名称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adjustRightInd w:val="0"/>
              <w:ind w:right="720"/>
              <w:textAlignment w:val="baseline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四川省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南宝山服饰有限公司</w:t>
            </w:r>
            <w:r>
              <w:rPr>
                <w:rFonts w:hint="eastAsia" w:asciiTheme="majorEastAsia" w:hAnsiTheme="majorEastAsia" w:eastAsiaTheme="majorEastAsia" w:cstheme="majorEastAsia"/>
              </w:rPr>
              <w:t>文稿内容安全检查</w:t>
            </w:r>
            <w:r>
              <w:rPr>
                <w:rFonts w:hint="eastAsia" w:asciiTheme="majorEastAsia" w:hAnsiTheme="majorEastAsia" w:eastAsiaTheme="majorEastAsia" w:cstheme="majorEastAsia"/>
                <w:bCs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</w:rPr>
              <w:t>采购项目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bCs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eastAsia="zh-CN"/>
              </w:rPr>
              <w:t>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获取谈判文件时间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9:00至202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14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获取谈判文件地点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eastAsia="zh-CN"/>
              </w:rPr>
              <w:t>邛崃监狱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官网（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eastAsia="zh-CN"/>
              </w:rPr>
              <w:t>工作要闻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栏目）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响应文件递交地点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eastAsia="zh-CN"/>
              </w:rPr>
              <w:t>南宝山服饰有限公司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响应文件开启时间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 xml:space="preserve">日 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:30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响应文件开启地点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eastAsia="zh-CN"/>
              </w:rPr>
              <w:t>南宝山服饰有限公司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89" w:type="dxa"/>
            <w:gridSpan w:val="2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项目联系单位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项目联系电话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028-88808053，报名邮箱scsqljy88808053@163.com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采购单位地址</w:t>
            </w:r>
          </w:p>
        </w:tc>
        <w:tc>
          <w:tcPr>
            <w:tcW w:w="6520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成都市邛崃市临邛镇土陶村</w:t>
            </w:r>
          </w:p>
        </w:tc>
      </w:tr>
    </w:tbl>
    <w:p>
      <w:pPr>
        <w:autoSpaceDE w:val="0"/>
        <w:autoSpaceDN w:val="0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</w:p>
    <w:p>
      <w:pPr>
        <w:autoSpaceDE w:val="0"/>
        <w:autoSpaceDN w:val="0"/>
        <w:ind w:left="5740" w:hanging="5740" w:hangingChars="20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四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川省南宝山服饰有限公司 </w:t>
      </w:r>
      <w:r>
        <w:rPr>
          <w:rFonts w:hint="eastAsia" w:asciiTheme="majorEastAsia" w:hAnsiTheme="majorEastAsia" w:eastAsiaTheme="majorEastAsia" w:cstheme="majorEastAsia"/>
        </w:rPr>
        <w:t xml:space="preserve">                  202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</w:rPr>
        <w:t>年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</w:rPr>
        <w:t>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</w:rPr>
        <w:t>日</w:t>
      </w:r>
      <w:bookmarkStart w:id="1" w:name="_GoBack"/>
      <w:bookmarkEnd w:id="1"/>
    </w:p>
    <w:p>
      <w:pPr>
        <w:spacing w:line="360" w:lineRule="auto"/>
        <w:rPr>
          <w:rFonts w:asciiTheme="majorEastAsia" w:hAnsiTheme="majorEastAsia" w:eastAsiaTheme="majorEastAsia" w:cstheme="majorEastAsia"/>
          <w:snapToGrid w:val="0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第二部分  谈判须知</w:t>
      </w:r>
    </w:p>
    <w:p>
      <w:pPr>
        <w:spacing w:line="44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一、项目概况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</w:rPr>
        <w:t>川省</w:t>
      </w:r>
      <w:r>
        <w:rPr>
          <w:rFonts w:hint="eastAsia" w:asciiTheme="majorEastAsia" w:hAnsiTheme="majorEastAsia" w:eastAsiaTheme="majorEastAsia" w:cstheme="majorEastAsia"/>
          <w:lang w:eastAsia="zh-CN"/>
        </w:rPr>
        <w:t>南宝山服饰有限公司</w:t>
      </w:r>
      <w:r>
        <w:rPr>
          <w:rFonts w:hint="eastAsia" w:asciiTheme="majorEastAsia" w:hAnsiTheme="majorEastAsia" w:eastAsiaTheme="majorEastAsia" w:cstheme="majorEastAsia"/>
          <w:snapToGrid w:val="0"/>
        </w:rPr>
        <w:t>通过谈判确定1家合格的供应商负责我单位文稿安全检查工作。</w:t>
      </w:r>
    </w:p>
    <w:p>
      <w:pPr>
        <w:pStyle w:val="5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二、商务条款</w:t>
      </w:r>
    </w:p>
    <w:p>
      <w:pPr>
        <w:numPr>
          <w:ilvl w:val="0"/>
          <w:numId w:val="1"/>
        </w:num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服务内容：</w:t>
      </w:r>
    </w:p>
    <w:tbl>
      <w:tblPr>
        <w:tblStyle w:val="10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75"/>
        <w:gridCol w:w="6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u w:val="none"/>
              </w:rPr>
              <w:t>产品体系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8"/>
                <w:u w:val="none"/>
              </w:rPr>
              <w:t>功能模块</w:t>
            </w:r>
          </w:p>
        </w:tc>
        <w:tc>
          <w:tcPr>
            <w:tcW w:w="6048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8"/>
                <w:u w:val="none"/>
              </w:rPr>
              <w:t>详细技术参数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val="en-US" w:eastAsia="zh-CN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稿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val="en-US" w:eastAsia="zh-CN"/>
              </w:rPr>
              <w:t>内容安全检查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系统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val="en-US" w:eastAsia="zh-CN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稿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val="en-US" w:eastAsia="zh-CN"/>
              </w:rPr>
              <w:t>内容安全检查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技术要求</w:t>
            </w:r>
          </w:p>
        </w:tc>
        <w:tc>
          <w:tcPr>
            <w:tcW w:w="6048" w:type="dxa"/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提供Saas（软件运营服务）化的产品服务，以云端账号登录形式进行发布信息的事前在线检测，提高入库信息的安全防范能力。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2.提供在线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预检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登录账号，账号数量不限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根据实际需求开设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支持网站发布内容的预检，检测方式为文本检测和网址检测。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支持检测指定网页的文章内容，将网页URL链接粘贴到系统中进行一键检测，可编辑文章内容。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支持对待发布的文本内容粘贴复制到系统内一键检测；支持将文本内容复制粘贴到内容安全检测的文本框中，然后进行一键检测，同时支持文本格式的编辑，将修改好的内容可以一键复制。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支持对网站地址链接复制到系统内直接检测；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支持对微信公众号临时发布内容链接到系统内直接检测；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8.支持对视频内容链接到系统内直接监测，包括视频内容的合规性；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系统在性能方面，需支持错敏信息检测的性能不低于1000字/秒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单篇文章内容校对的最大字数限制不能低于10万字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支持对检测出来的敏感词内容进行高亮显示及定位功能，提醒编辑人员快速修改。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11.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支持文本格式的编辑，将修改好的内容可以一键复制。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支持将检测出来的敏感词问题列表导出。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ascii="宋体" w:hAnsi="宋体" w:cs="宋体"/>
                <w:szCs w:val="21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13.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u w:val="none"/>
                <w:shd w:val="clear" w:color="auto" w:fill="FFFFFF"/>
              </w:rPr>
              <w:t>本次项目需要采用现代自然语言处理分析技术和敏感词、错别字库相结合的方法，检测内容中存在的错别字、敏感信息。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val="en-US" w:eastAsia="zh-CN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稿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val="en-US" w:eastAsia="zh-CN"/>
              </w:rPr>
              <w:t>内容安全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检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系统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单机版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val="en-US" w:eastAsia="zh-CN"/>
              </w:rPr>
              <w:t>文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</w:rPr>
              <w:t>稿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u w:val="none"/>
                <w:lang w:val="en-US" w:eastAsia="zh-CN"/>
              </w:rPr>
              <w:t>内容安全检查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val="en-US" w:eastAsia="zh-CN"/>
              </w:rPr>
              <w:t>单机版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技术要求</w:t>
            </w:r>
          </w:p>
        </w:tc>
        <w:tc>
          <w:tcPr>
            <w:tcW w:w="6048" w:type="dxa"/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  <w:t>1.支持在无互联网的环境下进行内容校对；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  <w:t>2.提供单机版预检账户2个；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  <w:t>3.单机版系统必须支持定期更新，更新频次不低于每三个月更新一次；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  <w:t>4.系统必须支持64位 Windows7SP及以上操作系统、银河麒麟 V10以及</w:t>
            </w:r>
            <w:r>
              <w:rPr>
                <w:rFonts w:hint="eastAsia" w:asciiTheme="minorEastAsia" w:hAnsiTheme="minorEastAsia" w:eastAsiaTheme="minorEastAsia" w:cstheme="minorEastAsia"/>
                <w:u w:val="thick" w:color="FFFF00"/>
                <w:lang w:val="en-US" w:eastAsia="zh-CN"/>
              </w:rPr>
              <w:t>统</w:t>
            </w:r>
            <w:r>
              <w:rPr>
                <w:rFonts w:hint="eastAsia" w:asciiTheme="minorEastAsia" w:hAnsiTheme="minorEastAsia" w:eastAsiaTheme="minorEastAsia" w:cstheme="minorEastAsia"/>
                <w:u w:val="none"/>
                <w:shd w:val="clear" w:fill="auto"/>
                <w:lang w:val="en-US" w:eastAsia="zh-CN"/>
              </w:rPr>
              <w:t>信</w:t>
            </w:r>
            <w:r>
              <w:rPr>
                <w:rFonts w:hint="eastAsia" w:asciiTheme="minorEastAsia" w:hAnsiTheme="minorEastAsia" w:eastAsiaTheme="minorEastAsia" w:cstheme="minorEastAsia"/>
                <w:u w:val="none"/>
                <w:lang w:val="en-US" w:eastAsia="zh-CN"/>
              </w:rPr>
              <w:t xml:space="preserve"> UOS 21系统；</w:t>
            </w:r>
          </w:p>
          <w:p>
            <w:pPr>
              <w:pStyle w:val="20"/>
              <w:wordWrap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5.系统支持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整篇校对，程序会自动从文本第一个字符开始对全篇进行校对，会默认在右侧生成校对结果，并且对文章中有错误的词、句和标点进行标记，也可以直接单击被标记的文本快速选中进行替换更改。</w:t>
            </w:r>
          </w:p>
          <w:p>
            <w:pPr>
              <w:pStyle w:val="20"/>
              <w:wordWrap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错误类型：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系统须支持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针对某几种错误类型进行校对或针对单一错误类型进行校对。共包含 10 种错误类型：不规范表述、常识错误、常见字词错误、叠词错误、多字少字错误、标点符号错误、句子查重、句子不通顺等。</w:t>
            </w:r>
          </w:p>
          <w:p>
            <w:pPr>
              <w:pStyle w:val="20"/>
              <w:wordWrap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生成勘误表：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系统须支持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auto"/>
              </w:rPr>
              <w:t>给校对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的文档导出勘误表进行对照查看，勘误表默认导出在桌面，表中包含问题词、建议替换词、处理状态和原句等字段，方便用户直接进行查阅。</w:t>
            </w:r>
          </w:p>
          <w:p>
            <w:pPr>
              <w:pStyle w:val="20"/>
              <w:wordWrap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查全/查准优先：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系统必须支持不少于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两种校对原则：查全优先原则和查准优先原则。查全优先原则可保障文章所有疑似错误都标记出来，但一定程度上存在误报需用户轻微人工筛选。查准优先原则可保障校对出的错误都有较高的准确性，但一定程度上存在漏报的情况。用户可根据需要选择校对原则。</w:t>
            </w:r>
          </w:p>
          <w:p>
            <w:pPr>
              <w:pStyle w:val="20"/>
              <w:wordWrap w:val="0"/>
              <w:spacing w:line="360" w:lineRule="auto"/>
              <w:jc w:val="left"/>
              <w:rPr>
                <w:rFonts w:hint="eastAsia" w:ascii="宋体" w:hAnsi="宋体" w:cs="宋体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结果替换/删除/撤销：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系统必须支持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所有校对的结果均可进行替换或删除操作，为避免误操作进行删除或替换后可点击撤销来恢复。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u w:val="none"/>
              </w:rPr>
              <w:t>系统检测内容</w:t>
            </w:r>
          </w:p>
        </w:tc>
        <w:tc>
          <w:tcPr>
            <w:tcW w:w="6048" w:type="dxa"/>
            <w:shd w:val="clear" w:color="auto" w:fill="auto"/>
            <w:vAlign w:val="center"/>
          </w:tcPr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支持敏感词检测：其中包括恐暴违禁、恶意宣传、文本色情、政治敏感、低俗辱骂、敏感人物等。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支持异常链接检：应能预检内容当中所有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auto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相关外链信息，对可能存在的博彩、色情、广告等非法内容和链接进行智能检测和识别。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支持疑似隐私信息检测：其中包括身份证、电话、学生证、邮箱、内网ip、银行卡号码、社保号码、医保号码等。</w:t>
            </w:r>
          </w:p>
          <w:p>
            <w:pPr>
              <w:pStyle w:val="20"/>
              <w:numPr>
                <w:ilvl w:val="0"/>
                <w:numId w:val="0"/>
              </w:numPr>
              <w:wordWrap w:val="0"/>
              <w:spacing w:line="360" w:lineRule="auto"/>
              <w:ind w:firstLine="420" w:firstLineChars="200"/>
              <w:jc w:val="left"/>
              <w:rPr>
                <w:rFonts w:ascii="宋体" w:hAnsi="宋体" w:cs="宋体"/>
                <w:szCs w:val="21"/>
                <w:u w:val="none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none"/>
                <w:shd w:val="clear" w:color="auto" w:fill="FFFFFF"/>
              </w:rPr>
              <w:t>支持重大表述问题检测：其中包括恐国家领导及其重点思想、国家政策方针、党及民族等意识形态类问题。</w:t>
            </w:r>
          </w:p>
        </w:tc>
      </w:tr>
    </w:tbl>
    <w:p>
      <w:pPr>
        <w:numPr>
          <w:ilvl w:val="0"/>
          <w:numId w:val="0"/>
        </w:num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服务时限：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3年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合同一年一签。</w:t>
      </w:r>
    </w:p>
    <w:p>
      <w:pPr>
        <w:pStyle w:val="5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付款方式：验收合格后一次性转账支付。</w:t>
      </w:r>
    </w:p>
    <w:p>
      <w:pPr>
        <w:pStyle w:val="6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4、未尽事宜合同约定。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三、谈判评选方式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1.被邀请供应商按照谈判文件第三部分内容编制投标文件，编制完成的投标文件用文件袋包装，在封套封口处加盖鲜章，谈判当天向谈判人提交。投标文件只需正本一份。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2.实质性审查：谈判人对被邀请供应商所提交资质证明文件进行实质性审查，供应商资质符合项目要求的，才能进入报价部分评审；资质不符合项目要求的，为废标。 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报价：符合条件的供应商在谈判结束后进行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报价，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报价最低的供应商为中标人。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如最终报价出现两家以上报价相同且为最低价的情况，则通过现场抽签方式确定中选供应商。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4.谈判人向所有供应商当场宣布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结果，宣布谈判结束。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5．经过谈判确定中选候选人后，谈判人不对其他未中选的被邀请人，就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过程和未能中选原因作任何解释。</w:t>
      </w: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第三部分报价文件格式</w:t>
      </w:r>
    </w:p>
    <w:p>
      <w:pPr>
        <w:widowControl/>
        <w:shd w:val="clear" w:color="auto" w:fill="FFFFFF"/>
        <w:spacing w:line="560" w:lineRule="exact"/>
        <w:ind w:firstLine="723" w:firstLineChars="200"/>
        <w:jc w:val="center"/>
        <w:rPr>
          <w:rFonts w:asciiTheme="minorEastAsia" w:hAnsiTheme="minorEastAsia" w:eastAsiaTheme="minorEastAsia" w:cs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报价单</w:t>
      </w:r>
    </w:p>
    <w:p>
      <w:pPr>
        <w:widowControl/>
        <w:shd w:val="clear" w:color="auto" w:fill="FFFFFF"/>
        <w:spacing w:line="540" w:lineRule="atLeast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</w:t>
      </w:r>
      <w:r>
        <w:rPr>
          <w:rFonts w:hint="eastAsia" w:asciiTheme="minorEastAsia" w:hAnsiTheme="minorEastAsia" w:eastAsiaTheme="minorEastAsia" w:cstheme="minorEastAsia"/>
          <w:bCs/>
          <w:u w:val="single"/>
          <w:lang w:eastAsia="zh-CN"/>
        </w:rPr>
        <w:t>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（被邀请人全称）参加贵方组织的</w:t>
      </w:r>
      <w:r>
        <w:rPr>
          <w:rFonts w:hint="eastAsia" w:asciiTheme="majorEastAsia" w:hAnsiTheme="majorEastAsia" w:eastAsiaTheme="majorEastAsia" w:cstheme="majorEastAsia"/>
        </w:rPr>
        <w:t>四川省</w:t>
      </w:r>
      <w:r>
        <w:rPr>
          <w:rFonts w:hint="eastAsia" w:asciiTheme="majorEastAsia" w:hAnsiTheme="majorEastAsia" w:eastAsiaTheme="majorEastAsia" w:cstheme="majorEastAsia"/>
          <w:lang w:eastAsia="zh-CN"/>
        </w:rPr>
        <w:t>南宝山服饰有限公司</w:t>
      </w:r>
      <w:r>
        <w:rPr>
          <w:rFonts w:hint="eastAsia" w:asciiTheme="majorEastAsia" w:hAnsiTheme="majorEastAsia" w:eastAsiaTheme="majorEastAsia" w:cstheme="majorEastAsia"/>
        </w:rPr>
        <w:t>文稿内容安全检查</w:t>
      </w:r>
      <w:r>
        <w:rPr>
          <w:rFonts w:hint="eastAsia" w:asciiTheme="majorEastAsia" w:hAnsiTheme="majorEastAsia" w:eastAsiaTheme="majorEastAsia" w:cstheme="majorEastAsia"/>
          <w:bCs/>
        </w:rPr>
        <w:t>服务</w:t>
      </w:r>
      <w:r>
        <w:rPr>
          <w:rFonts w:hint="eastAsia" w:asciiTheme="majorEastAsia" w:hAnsiTheme="majorEastAsia" w:eastAsiaTheme="majorEastAsia" w:cstheme="majorEastAsia"/>
        </w:rPr>
        <w:t>采购项目，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在分析了相关资料和实际情况后，我公司愿意以人民币（        ）元，大写（          ）参与该项目，完成项目工作内容的全部任务。如我方中标，我方承诺：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2、签订正式合同后，除不可抗力外，合同履行期间不更换项目负责人。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被邀请人：（盖单位章）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地址：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asciiTheme="minorEastAsia" w:hAnsiTheme="minorEastAsia" w:eastAsiaTheme="minorEastAsia" w:cstheme="minorEastAsi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</w:rPr>
        <w:t>（资质证书复印件加盖企业鲜章）。</w:t>
      </w:r>
    </w:p>
    <w:p>
      <w:pPr>
        <w:rPr>
          <w:rFonts w:asciiTheme="majorEastAsia" w:hAnsiTheme="majorEastAsia" w:eastAsiaTheme="majorEastAsia" w:cstheme="majorEastAsia"/>
          <w:bCs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法人身份证复印件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rPr>
          <w:rFonts w:asciiTheme="majorEastAsia" w:hAnsiTheme="majorEastAsia" w:eastAsiaTheme="majorEastAsia" w:cstheme="majorEastAsia"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授权委托书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全权代表身份证复印件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rPr>
          <w:rFonts w:asciiTheme="majorEastAsia" w:hAnsiTheme="majorEastAsia" w:eastAsiaTheme="majorEastAsia" w:cstheme="majorEastAsia"/>
          <w:snapToGrid w:val="0"/>
        </w:rPr>
      </w:pPr>
    </w:p>
    <w:p>
      <w:pPr>
        <w:rPr>
          <w:rFonts w:asciiTheme="majorEastAsia" w:hAnsiTheme="majorEastAsia" w:eastAsiaTheme="majorEastAsia" w:cstheme="majorEastAsia"/>
        </w:rPr>
      </w:pPr>
    </w:p>
    <w:p>
      <w:pPr>
        <w:rPr>
          <w:rFonts w:asciiTheme="majorEastAsia" w:hAnsiTheme="majorEastAsia" w:eastAsiaTheme="majorEastAsia" w:cstheme="majorEastAsia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pageBreakBefore/>
        <w:spacing w:line="360" w:lineRule="auto"/>
        <w:ind w:right="482"/>
        <w:jc w:val="center"/>
        <w:outlineLvl w:val="1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四川省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南宝山服饰有限公司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文稿内容安全检查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采购项目最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终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10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四川省</w:t>
            </w: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南宝山服饰有限公司</w:t>
            </w:r>
            <w:r>
              <w:rPr>
                <w:rFonts w:hint="eastAsia" w:asciiTheme="majorEastAsia" w:hAnsiTheme="majorEastAsia" w:eastAsiaTheme="majorEastAsia" w:cstheme="majorEastAsia"/>
              </w:rPr>
              <w:t>文稿内容安全检查</w:t>
            </w:r>
            <w:r>
              <w:rPr>
                <w:rFonts w:hint="eastAsia" w:asciiTheme="majorEastAsia" w:hAnsiTheme="majorEastAsia" w:eastAsiaTheme="majorEastAsia" w:cstheme="majorEastAsia"/>
                <w:bCs/>
              </w:rPr>
              <w:t>服务</w:t>
            </w:r>
            <w:r>
              <w:rPr>
                <w:rFonts w:hint="eastAsia" w:asciiTheme="majorEastAsia" w:hAnsiTheme="majorEastAsia" w:eastAsiaTheme="majorEastAsia" w:cstheme="majorEastAsia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最终报价为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8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18"/>
        <w:snapToGrid w:val="0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>
      <w:pPr>
        <w:pStyle w:val="18"/>
        <w:snapToGrid w:val="0"/>
        <w:spacing w:line="276" w:lineRule="auto"/>
        <w:ind w:firstLine="551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8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</w:p>
    <w:p>
      <w:pPr>
        <w:pStyle w:val="18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1、总报价应是完成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本项目及谈判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8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8"/>
        <w:snapToGrid w:val="0"/>
        <w:spacing w:line="276" w:lineRule="auto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2、谈判结束时，采购人现场工作人员向通符合本次采购要求的被邀请供应商发放 “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报价表”，经供应商法定代表人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/单位负责人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或代理人按要求填写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最终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报价后递交给采购人现场工作人员，由其收集齐后集中递交评审小组。供应商在响应文件中提交此表的，不影响其响应文件的有效性，其最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报价以谈判结束后提交的“最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终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报价表”为准。</w:t>
      </w:r>
    </w:p>
    <w:p>
      <w:pPr>
        <w:pStyle w:val="19"/>
        <w:ind w:firstLine="0" w:firstLineChars="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sz w:val="21"/>
        <w:u w:val="single"/>
      </w:rPr>
    </w:pPr>
  </w:p>
  <w:p>
    <w:pPr>
      <w:pStyle w:val="7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14</w: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6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E5D4"/>
    <w:multiLevelType w:val="singleLevel"/>
    <w:tmpl w:val="1D30E5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2998908"/>
    <w:multiLevelType w:val="singleLevel"/>
    <w:tmpl w:val="6299890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17"/>
    <w:rsid w:val="000049BE"/>
    <w:rsid w:val="000E6017"/>
    <w:rsid w:val="001C0525"/>
    <w:rsid w:val="001D7131"/>
    <w:rsid w:val="00266191"/>
    <w:rsid w:val="0028638E"/>
    <w:rsid w:val="002A7313"/>
    <w:rsid w:val="003437AF"/>
    <w:rsid w:val="0035313F"/>
    <w:rsid w:val="003672B1"/>
    <w:rsid w:val="003745DB"/>
    <w:rsid w:val="00392C0E"/>
    <w:rsid w:val="00397A00"/>
    <w:rsid w:val="003B7C46"/>
    <w:rsid w:val="00463D2A"/>
    <w:rsid w:val="00682617"/>
    <w:rsid w:val="007319A7"/>
    <w:rsid w:val="00782332"/>
    <w:rsid w:val="0089659B"/>
    <w:rsid w:val="008C765E"/>
    <w:rsid w:val="008E5986"/>
    <w:rsid w:val="0091440F"/>
    <w:rsid w:val="00914B57"/>
    <w:rsid w:val="0095084D"/>
    <w:rsid w:val="00953864"/>
    <w:rsid w:val="00954FEC"/>
    <w:rsid w:val="00960A82"/>
    <w:rsid w:val="009B3AAF"/>
    <w:rsid w:val="009C2F80"/>
    <w:rsid w:val="00A14019"/>
    <w:rsid w:val="00A15C60"/>
    <w:rsid w:val="00A6458E"/>
    <w:rsid w:val="00A70F16"/>
    <w:rsid w:val="00AC6E5C"/>
    <w:rsid w:val="00B32182"/>
    <w:rsid w:val="00BA39E5"/>
    <w:rsid w:val="00BD3130"/>
    <w:rsid w:val="00BE75EF"/>
    <w:rsid w:val="00CA3080"/>
    <w:rsid w:val="00CE2EE5"/>
    <w:rsid w:val="00D30F76"/>
    <w:rsid w:val="00DC58DD"/>
    <w:rsid w:val="00DC7F4D"/>
    <w:rsid w:val="00DE61B5"/>
    <w:rsid w:val="00E64B14"/>
    <w:rsid w:val="00E76C68"/>
    <w:rsid w:val="00ED6DEE"/>
    <w:rsid w:val="00EE7B52"/>
    <w:rsid w:val="00F35130"/>
    <w:rsid w:val="00F36B16"/>
    <w:rsid w:val="00F875BD"/>
    <w:rsid w:val="00FA6A12"/>
    <w:rsid w:val="00FA7BC9"/>
    <w:rsid w:val="00FD57B1"/>
    <w:rsid w:val="020D2A9E"/>
    <w:rsid w:val="04902860"/>
    <w:rsid w:val="0BAA47A4"/>
    <w:rsid w:val="0DA67B72"/>
    <w:rsid w:val="0DBB12A3"/>
    <w:rsid w:val="0EFC7E86"/>
    <w:rsid w:val="135F0704"/>
    <w:rsid w:val="14E413C9"/>
    <w:rsid w:val="188040AD"/>
    <w:rsid w:val="18D764CD"/>
    <w:rsid w:val="1B1851FE"/>
    <w:rsid w:val="1B5A4734"/>
    <w:rsid w:val="1F0643A9"/>
    <w:rsid w:val="20B85F9B"/>
    <w:rsid w:val="23C81428"/>
    <w:rsid w:val="24501FCF"/>
    <w:rsid w:val="2B4E7433"/>
    <w:rsid w:val="2C0E30CE"/>
    <w:rsid w:val="2E867A8E"/>
    <w:rsid w:val="2F5C136D"/>
    <w:rsid w:val="31AB0005"/>
    <w:rsid w:val="33275669"/>
    <w:rsid w:val="34380AE5"/>
    <w:rsid w:val="357C060D"/>
    <w:rsid w:val="39332603"/>
    <w:rsid w:val="3ABB2EBC"/>
    <w:rsid w:val="3C4D370E"/>
    <w:rsid w:val="3FCE7F1A"/>
    <w:rsid w:val="44DA6C67"/>
    <w:rsid w:val="467D2CCA"/>
    <w:rsid w:val="48CA2286"/>
    <w:rsid w:val="4C64739B"/>
    <w:rsid w:val="4D212990"/>
    <w:rsid w:val="4DF15B68"/>
    <w:rsid w:val="4E8A38FE"/>
    <w:rsid w:val="516B2D01"/>
    <w:rsid w:val="56601766"/>
    <w:rsid w:val="59291DA6"/>
    <w:rsid w:val="62834A0F"/>
    <w:rsid w:val="661D299D"/>
    <w:rsid w:val="6CE26173"/>
    <w:rsid w:val="6FB42196"/>
    <w:rsid w:val="72775E5B"/>
    <w:rsid w:val="7E7193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"/>
    <w:basedOn w:val="1"/>
    <w:next w:val="6"/>
    <w:link w:val="14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99"/>
    <w:pPr>
      <w:ind w:firstLine="420" w:firstLineChars="100"/>
    </w:p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7"/>
    <w:qFormat/>
    <w:uiPriority w:val="0"/>
    <w:pPr>
      <w:spacing w:after="120" w:line="480" w:lineRule="auto"/>
    </w:p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正文文本 Char"/>
    <w:basedOn w:val="12"/>
    <w:link w:val="5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5">
    <w:name w:val="页脚 Char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2 Char"/>
    <w:basedOn w:val="12"/>
    <w:link w:val="9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8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9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styleId="20">
    <w:name w:val="List Paragraph"/>
    <w:basedOn w:val="1"/>
    <w:qFormat/>
    <w:uiPriority w:val="1"/>
    <w:pPr>
      <w:ind w:firstLine="420" w:firstLineChars="200"/>
    </w:pPr>
    <w:rPr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520</Words>
  <Characters>2965</Characters>
  <Lines>24</Lines>
  <Paragraphs>6</Paragraphs>
  <TotalTime>48</TotalTime>
  <ScaleCrop>false</ScaleCrop>
  <LinksUpToDate>false</LinksUpToDate>
  <CharactersWithSpaces>3479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2022-08-17T12:32:00Z</dcterms:created>
  <dc:creator>admin</dc:creator>
  <cp:lastModifiedBy>AOC</cp:lastModifiedBy>
  <dcterms:modified xsi:type="dcterms:W3CDTF">2025-04-09T01:51:59Z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F506A05AF0A55CFB5138F3673AAC175D</vt:lpwstr>
  </property>
</Properties>
</file>