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竞争性磋商文件</w:t>
      </w:r>
    </w:p>
    <w:p>
      <w:pPr>
        <w:jc w:val="center"/>
        <w:rPr>
          <w:rFonts w:hint="eastAsia" w:asciiTheme="minorEastAsia" w:hAnsiTheme="minorEastAsia" w:eastAsiaTheme="minorEastAsia" w:cstheme="minorEastAsia"/>
          <w:sz w:val="72"/>
          <w:szCs w:val="72"/>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项目名称：四川省南宝山服饰有限公司</w:t>
      </w:r>
      <w:r>
        <w:rPr>
          <w:rFonts w:hint="eastAsia" w:asciiTheme="minorEastAsia" w:hAnsiTheme="minorEastAsia" w:eastAsiaTheme="minorEastAsia" w:cstheme="minorEastAsia"/>
          <w:b/>
          <w:sz w:val="36"/>
          <w:szCs w:val="36"/>
          <w:lang w:eastAsia="zh-CN"/>
        </w:rPr>
        <w:t>西郊横路场区平整和维修</w:t>
      </w:r>
      <w:r>
        <w:rPr>
          <w:rFonts w:hint="eastAsia" w:asciiTheme="minorEastAsia" w:hAnsiTheme="minorEastAsia" w:eastAsiaTheme="minorEastAsia" w:cstheme="minorEastAsia"/>
          <w:b/>
          <w:sz w:val="36"/>
          <w:szCs w:val="36"/>
        </w:rPr>
        <w:t>采购</w:t>
      </w: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jc w:val="center"/>
        <w:rPr>
          <w:rFonts w:hint="default" w:asciiTheme="minorEastAsia" w:hAnsiTheme="minorEastAsia" w:eastAsiaTheme="minorEastAsia" w:cstheme="minorEastAsia"/>
          <w:b/>
          <w:sz w:val="32"/>
          <w:szCs w:val="32"/>
          <w:lang w:val="en-US" w:eastAsia="zh-CN"/>
        </w:rPr>
      </w:pPr>
      <w:r>
        <w:rPr>
          <w:rFonts w:hint="eastAsia" w:asciiTheme="minorEastAsia" w:hAnsiTheme="minorEastAsia" w:eastAsiaTheme="minorEastAsia" w:cstheme="minorEastAsia"/>
          <w:b/>
          <w:sz w:val="32"/>
          <w:szCs w:val="32"/>
        </w:rPr>
        <w:t>编号：202</w:t>
      </w:r>
      <w:r>
        <w:rPr>
          <w:rFonts w:hint="eastAsia" w:asciiTheme="minorEastAsia" w:hAnsiTheme="minorEastAsia" w:eastAsiaTheme="minorEastAsia" w:cstheme="minorEastAsia"/>
          <w:b/>
          <w:sz w:val="32"/>
          <w:szCs w:val="32"/>
          <w:lang w:val="en-US" w:eastAsia="zh-CN"/>
        </w:rPr>
        <w:t>5</w:t>
      </w:r>
      <w:r>
        <w:rPr>
          <w:rFonts w:hint="eastAsia" w:asciiTheme="minorEastAsia" w:hAnsiTheme="minorEastAsia" w:eastAsiaTheme="minorEastAsia" w:cstheme="minorEastAsia"/>
          <w:b/>
          <w:sz w:val="32"/>
          <w:szCs w:val="32"/>
        </w:rPr>
        <w:t>-Q</w:t>
      </w:r>
      <w:r>
        <w:rPr>
          <w:rFonts w:hint="eastAsia" w:asciiTheme="minorEastAsia" w:hAnsiTheme="minorEastAsia" w:eastAsiaTheme="minorEastAsia" w:cstheme="minorEastAsia"/>
          <w:b/>
          <w:sz w:val="32"/>
          <w:szCs w:val="32"/>
          <w:lang w:val="en-US" w:eastAsia="zh-CN"/>
        </w:rPr>
        <w:t>114</w:t>
      </w:r>
    </w:p>
    <w:p>
      <w:pPr>
        <w:jc w:val="center"/>
        <w:rPr>
          <w:rFonts w:hint="eastAsia" w:asciiTheme="minorEastAsia" w:hAnsiTheme="minorEastAsia" w:eastAsiaTheme="minorEastAsia" w:cstheme="minorEastAsia"/>
          <w:b/>
          <w:sz w:val="32"/>
          <w:szCs w:val="32"/>
        </w:rPr>
      </w:pPr>
    </w:p>
    <w:p>
      <w:pPr>
        <w:jc w:val="center"/>
        <w:rPr>
          <w:rFonts w:hint="eastAsia" w:asciiTheme="minorEastAsia" w:hAnsiTheme="minorEastAsia" w:eastAsiaTheme="minorEastAsia" w:cstheme="minorEastAsia"/>
          <w:b/>
          <w:sz w:val="32"/>
          <w:szCs w:val="32"/>
        </w:rPr>
      </w:pP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四川省南宝山服饰有限公司</w:t>
      </w:r>
    </w:p>
    <w:p>
      <w:pPr>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202</w:t>
      </w:r>
      <w:r>
        <w:rPr>
          <w:rFonts w:hint="eastAsia" w:asciiTheme="minorEastAsia" w:hAnsiTheme="minorEastAsia" w:eastAsiaTheme="minorEastAsia" w:cstheme="minorEastAsia"/>
          <w:b/>
          <w:sz w:val="36"/>
          <w:szCs w:val="36"/>
          <w:lang w:val="en-US" w:eastAsia="zh-CN"/>
        </w:rPr>
        <w:t>5</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11</w:t>
      </w:r>
      <w:r>
        <w:rPr>
          <w:rFonts w:hint="eastAsia" w:asciiTheme="minorEastAsia" w:hAnsiTheme="minorEastAsia" w:eastAsiaTheme="minorEastAsia" w:cstheme="minorEastAsia"/>
          <w:b/>
          <w:sz w:val="36"/>
          <w:szCs w:val="36"/>
        </w:rPr>
        <w:t>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color w:val="000000"/>
        </w:rPr>
        <w:br w:type="page"/>
      </w:r>
      <w:r>
        <w:rPr>
          <w:rFonts w:hint="eastAsia"/>
          <w:b/>
          <w:bCs/>
        </w:rPr>
        <w:t>第一章  邀请公告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textAlignment w:val="auto"/>
        <w:rPr>
          <w:rFonts w:hint="eastAsia" w:asciiTheme="minorEastAsia" w:hAnsiTheme="minorEastAsia" w:eastAsiaTheme="minorEastAsia" w:cstheme="minorEastAsia"/>
        </w:rPr>
      </w:pPr>
      <w:bookmarkStart w:id="0" w:name="_Toc227144287"/>
      <w:r>
        <w:rPr>
          <w:rFonts w:hint="eastAsia" w:asciiTheme="minorEastAsia" w:hAnsiTheme="minorEastAsia" w:eastAsiaTheme="minorEastAsia" w:cstheme="minorEastAsia"/>
        </w:rPr>
        <w:t>四川省南宝山服饰有限公司根据单位需要，准备</w:t>
      </w:r>
      <w:r>
        <w:rPr>
          <w:rFonts w:hint="eastAsia" w:asciiTheme="minorEastAsia" w:hAnsiTheme="minorEastAsia" w:eastAsiaTheme="minorEastAsia" w:cstheme="minorEastAsia"/>
          <w:lang w:eastAsia="zh-CN"/>
        </w:rPr>
        <w:t>对西郊横路场区平整和维修</w:t>
      </w:r>
      <w:r>
        <w:rPr>
          <w:rFonts w:hint="eastAsia" w:asciiTheme="minorEastAsia" w:hAnsiTheme="minorEastAsia" w:eastAsiaTheme="minorEastAsia" w:cstheme="minorEastAsia"/>
        </w:rPr>
        <w:t>采用竞争性磋商方式进行采购，现诚</w:t>
      </w:r>
      <w:r>
        <w:rPr>
          <w:rFonts w:hint="eastAsia" w:asciiTheme="minorEastAsia" w:hAnsiTheme="minorEastAsia" w:eastAsiaTheme="minorEastAsia" w:cstheme="minorEastAsia"/>
          <w:spacing w:val="8"/>
        </w:rPr>
        <w:t>邀各公司</w:t>
      </w:r>
      <w:r>
        <w:rPr>
          <w:rFonts w:hint="eastAsia" w:asciiTheme="minorEastAsia" w:hAnsiTheme="minorEastAsia" w:eastAsiaTheme="minorEastAsia" w:cstheme="minorEastAsia"/>
        </w:rPr>
        <w:t>参加本项目并与我方联系获取磋商文件事宜。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一</w:t>
      </w:r>
      <w:r>
        <w:rPr>
          <w:rFonts w:hint="eastAsia" w:asciiTheme="minorEastAsia" w:hAnsiTheme="minorEastAsia" w:eastAsiaTheme="minorEastAsia" w:cstheme="minorEastAsia"/>
        </w:rPr>
        <w:t>.项目情况</w:t>
      </w:r>
    </w:p>
    <w:tbl>
      <w:tblPr>
        <w:tblStyle w:val="21"/>
        <w:tblW w:w="87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69"/>
        <w:gridCol w:w="65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采购项目名称</w:t>
            </w:r>
          </w:p>
        </w:tc>
        <w:tc>
          <w:tcPr>
            <w:tcW w:w="6520" w:type="dxa"/>
            <w:noWrap w:val="0"/>
            <w:tcMar>
              <w:top w:w="36" w:type="dxa"/>
              <w:left w:w="36" w:type="dxa"/>
              <w:bottom w:w="36" w:type="dxa"/>
              <w:right w:w="36" w:type="dxa"/>
            </w:tcMar>
            <w:vAlign w:val="bottom"/>
          </w:tcPr>
          <w:p>
            <w:pPr>
              <w:widowControl/>
              <w:shd w:val="clear" w:color="auto" w:fill="FFFFFF"/>
              <w:spacing w:before="216" w:after="144" w:line="259" w:lineRule="atLeast"/>
              <w:jc w:val="left"/>
              <w:textAlignment w:val="baseline"/>
              <w:outlineLvl w:val="1"/>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w:t>
            </w:r>
            <w:r>
              <w:rPr>
                <w:rFonts w:hint="eastAsia" w:asciiTheme="minorEastAsia" w:hAnsiTheme="minorEastAsia" w:eastAsiaTheme="minorEastAsia" w:cstheme="minorEastAsia"/>
                <w:bCs/>
                <w:kern w:val="0"/>
                <w:sz w:val="24"/>
                <w:szCs w:val="24"/>
                <w:lang w:eastAsia="zh-CN"/>
              </w:rPr>
              <w:t>西郊横路场区平整和维修</w:t>
            </w:r>
            <w:r>
              <w:rPr>
                <w:rFonts w:hint="eastAsia" w:asciiTheme="minorEastAsia" w:hAnsiTheme="minorEastAsia" w:eastAsiaTheme="minorEastAsia" w:cstheme="minorEastAsia"/>
                <w:sz w:val="24"/>
                <w:szCs w:val="24"/>
              </w:rPr>
              <w:t>采购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采购单位</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获取磋商文件时间</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202</w:t>
            </w:r>
            <w:r>
              <w:rPr>
                <w:rFonts w:hint="eastAsia" w:asciiTheme="minorEastAsia" w:hAnsiTheme="minorEastAsia" w:eastAsiaTheme="minorEastAsia" w:cstheme="minorEastAsia"/>
                <w:bCs/>
                <w:kern w:val="0"/>
                <w:sz w:val="24"/>
                <w:szCs w:val="24"/>
                <w:lang w:val="en-US" w:eastAsia="zh-CN"/>
              </w:rPr>
              <w:t>5</w:t>
            </w:r>
            <w:r>
              <w:rPr>
                <w:rFonts w:hint="eastAsia" w:asciiTheme="minorEastAsia" w:hAnsiTheme="minorEastAsia" w:eastAsiaTheme="minorEastAsia" w:cstheme="minorEastAsia"/>
                <w:bCs/>
                <w:kern w:val="0"/>
                <w:sz w:val="24"/>
                <w:szCs w:val="24"/>
              </w:rPr>
              <w:t>年</w:t>
            </w:r>
            <w:r>
              <w:rPr>
                <w:rFonts w:hint="eastAsia" w:asciiTheme="minorEastAsia" w:hAnsiTheme="minorEastAsia" w:eastAsiaTheme="minorEastAsia" w:cstheme="minorEastAsia"/>
                <w:bCs/>
                <w:kern w:val="0"/>
                <w:sz w:val="24"/>
                <w:szCs w:val="24"/>
                <w:lang w:val="en-US" w:eastAsia="zh-CN"/>
              </w:rPr>
              <w:t>11</w:t>
            </w:r>
            <w:r>
              <w:rPr>
                <w:rFonts w:hint="eastAsia" w:asciiTheme="minorEastAsia" w:hAnsiTheme="minorEastAsia" w:eastAsiaTheme="minorEastAsia" w:cstheme="minorEastAsia"/>
                <w:bCs/>
                <w:kern w:val="0"/>
                <w:sz w:val="24"/>
                <w:szCs w:val="24"/>
              </w:rPr>
              <w:t>月</w:t>
            </w:r>
            <w:r>
              <w:rPr>
                <w:rFonts w:hint="eastAsia" w:asciiTheme="minorEastAsia" w:hAnsiTheme="minorEastAsia" w:eastAsiaTheme="minorEastAsia" w:cstheme="minorEastAsia"/>
                <w:bCs/>
                <w:kern w:val="0"/>
                <w:sz w:val="24"/>
                <w:szCs w:val="24"/>
                <w:lang w:val="en-US" w:eastAsia="zh-CN"/>
              </w:rPr>
              <w:t xml:space="preserve">18 </w:t>
            </w:r>
            <w:r>
              <w:rPr>
                <w:rFonts w:hint="eastAsia" w:asciiTheme="minorEastAsia" w:hAnsiTheme="minorEastAsia" w:eastAsiaTheme="minorEastAsia" w:cstheme="minorEastAsia"/>
                <w:bCs/>
                <w:kern w:val="0"/>
                <w:sz w:val="24"/>
                <w:szCs w:val="24"/>
              </w:rPr>
              <w:t>日 09:</w:t>
            </w:r>
            <w:r>
              <w:rPr>
                <w:rFonts w:hint="eastAsia" w:asciiTheme="minorEastAsia" w:hAnsiTheme="minorEastAsia" w:eastAsiaTheme="minorEastAsia" w:cstheme="minorEastAsia"/>
                <w:bCs/>
                <w:kern w:val="0"/>
                <w:sz w:val="24"/>
                <w:szCs w:val="24"/>
                <w:lang w:val="en-US" w:eastAsia="zh-CN"/>
              </w:rPr>
              <w:t>0</w:t>
            </w:r>
            <w:r>
              <w:rPr>
                <w:rFonts w:hint="eastAsia" w:asciiTheme="minorEastAsia" w:hAnsiTheme="minorEastAsia" w:eastAsiaTheme="minorEastAsia" w:cstheme="minorEastAsia"/>
                <w:bCs/>
                <w:kern w:val="0"/>
                <w:sz w:val="24"/>
                <w:szCs w:val="24"/>
              </w:rPr>
              <w:t>0至202</w:t>
            </w:r>
            <w:r>
              <w:rPr>
                <w:rFonts w:hint="eastAsia" w:asciiTheme="minorEastAsia" w:hAnsiTheme="minorEastAsia" w:eastAsiaTheme="minorEastAsia" w:cstheme="minorEastAsia"/>
                <w:bCs/>
                <w:kern w:val="0"/>
                <w:sz w:val="24"/>
                <w:szCs w:val="24"/>
                <w:lang w:val="en-US" w:eastAsia="zh-CN"/>
              </w:rPr>
              <w:t>5</w:t>
            </w:r>
            <w:r>
              <w:rPr>
                <w:rFonts w:hint="eastAsia" w:asciiTheme="minorEastAsia" w:hAnsiTheme="minorEastAsia" w:eastAsiaTheme="minorEastAsia" w:cstheme="minorEastAsia"/>
                <w:bCs/>
                <w:kern w:val="0"/>
                <w:sz w:val="24"/>
                <w:szCs w:val="24"/>
              </w:rPr>
              <w:t>年</w:t>
            </w:r>
            <w:r>
              <w:rPr>
                <w:rFonts w:hint="eastAsia" w:asciiTheme="minorEastAsia" w:hAnsiTheme="minorEastAsia" w:eastAsiaTheme="minorEastAsia" w:cstheme="minorEastAsia"/>
                <w:bCs/>
                <w:kern w:val="0"/>
                <w:sz w:val="24"/>
                <w:szCs w:val="24"/>
                <w:lang w:val="en-US" w:eastAsia="zh-CN"/>
              </w:rPr>
              <w:t xml:space="preserve"> 11</w:t>
            </w:r>
            <w:r>
              <w:rPr>
                <w:rFonts w:hint="eastAsia" w:asciiTheme="minorEastAsia" w:hAnsiTheme="minorEastAsia" w:eastAsiaTheme="minorEastAsia" w:cstheme="minorEastAsia"/>
                <w:bCs/>
                <w:kern w:val="0"/>
                <w:sz w:val="24"/>
                <w:szCs w:val="24"/>
              </w:rPr>
              <w:t>月</w:t>
            </w:r>
            <w:r>
              <w:rPr>
                <w:rFonts w:hint="eastAsia" w:asciiTheme="minorEastAsia" w:hAnsiTheme="minorEastAsia" w:eastAsiaTheme="minorEastAsia" w:cstheme="minorEastAsia"/>
                <w:bCs/>
                <w:kern w:val="0"/>
                <w:sz w:val="24"/>
                <w:szCs w:val="24"/>
                <w:lang w:val="en-US" w:eastAsia="zh-CN"/>
              </w:rPr>
              <w:t xml:space="preserve"> 24</w:t>
            </w:r>
            <w:r>
              <w:rPr>
                <w:rFonts w:hint="eastAsia" w:asciiTheme="minorEastAsia" w:hAnsiTheme="minorEastAsia" w:eastAsiaTheme="minorEastAsia" w:cstheme="minorEastAsia"/>
                <w:bCs/>
                <w:kern w:val="0"/>
                <w:sz w:val="24"/>
                <w:szCs w:val="24"/>
              </w:rPr>
              <w:t>日 17:00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获取磋商文件地点</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响应文件递交地点</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响应文件开启时间</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202</w:t>
            </w:r>
            <w:r>
              <w:rPr>
                <w:rFonts w:hint="eastAsia" w:asciiTheme="minorEastAsia" w:hAnsiTheme="minorEastAsia" w:eastAsiaTheme="minorEastAsia" w:cstheme="minorEastAsia"/>
                <w:bCs/>
                <w:kern w:val="0"/>
                <w:sz w:val="24"/>
                <w:szCs w:val="24"/>
                <w:lang w:val="en-US" w:eastAsia="zh-CN"/>
              </w:rPr>
              <w:t>5</w:t>
            </w:r>
            <w:r>
              <w:rPr>
                <w:rFonts w:hint="eastAsia" w:asciiTheme="minorEastAsia" w:hAnsiTheme="minorEastAsia" w:eastAsiaTheme="minorEastAsia" w:cstheme="minorEastAsia"/>
                <w:bCs/>
                <w:kern w:val="0"/>
                <w:sz w:val="24"/>
                <w:szCs w:val="24"/>
              </w:rPr>
              <w:t>年</w:t>
            </w:r>
            <w:r>
              <w:rPr>
                <w:rFonts w:hint="eastAsia" w:asciiTheme="minorEastAsia" w:hAnsiTheme="minorEastAsia" w:eastAsiaTheme="minorEastAsia" w:cstheme="minorEastAsia"/>
                <w:bCs/>
                <w:kern w:val="0"/>
                <w:sz w:val="24"/>
                <w:szCs w:val="24"/>
                <w:lang w:val="en-US" w:eastAsia="zh-CN"/>
              </w:rPr>
              <w:t xml:space="preserve">11 </w:t>
            </w:r>
            <w:r>
              <w:rPr>
                <w:rFonts w:hint="eastAsia" w:asciiTheme="minorEastAsia" w:hAnsiTheme="minorEastAsia" w:eastAsiaTheme="minorEastAsia" w:cstheme="minorEastAsia"/>
                <w:bCs/>
                <w:kern w:val="0"/>
                <w:sz w:val="24"/>
                <w:szCs w:val="24"/>
              </w:rPr>
              <w:t>月</w:t>
            </w:r>
            <w:r>
              <w:rPr>
                <w:rFonts w:hint="eastAsia" w:asciiTheme="minorEastAsia" w:hAnsiTheme="minorEastAsia" w:eastAsiaTheme="minorEastAsia" w:cstheme="minorEastAsia"/>
                <w:bCs/>
                <w:kern w:val="0"/>
                <w:sz w:val="24"/>
                <w:szCs w:val="24"/>
                <w:lang w:val="en-US" w:eastAsia="zh-CN"/>
              </w:rPr>
              <w:t xml:space="preserve">28  </w:t>
            </w:r>
            <w:r>
              <w:rPr>
                <w:rFonts w:hint="eastAsia" w:asciiTheme="minorEastAsia" w:hAnsiTheme="minorEastAsia" w:eastAsiaTheme="minorEastAsia" w:cstheme="minorEastAsia"/>
                <w:bCs/>
                <w:kern w:val="0"/>
                <w:sz w:val="24"/>
                <w:szCs w:val="24"/>
              </w:rPr>
              <w:t>日 9:30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响应文件开启地点</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w:t>
            </w:r>
            <w:bookmarkStart w:id="15" w:name="_GoBack"/>
            <w:bookmarkEnd w:id="1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8789" w:type="dxa"/>
            <w:gridSpan w:val="2"/>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联系人及联系方式：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项目联系单位</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公司办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项目联系电话</w:t>
            </w:r>
            <w:r>
              <w:rPr>
                <w:rFonts w:hint="eastAsia" w:asciiTheme="minorEastAsia" w:hAnsiTheme="minorEastAsia" w:eastAsiaTheme="minorEastAsia" w:cstheme="minorEastAsia"/>
                <w:kern w:val="0"/>
                <w:sz w:val="24"/>
                <w:szCs w:val="24"/>
                <w:lang w:val="en-US" w:eastAsia="zh-CN"/>
              </w:rPr>
              <w:t>及邮箱</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rPr>
              <w:t>028-88808053</w:t>
            </w:r>
            <w:r>
              <w:rPr>
                <w:rFonts w:hint="eastAsia" w:asciiTheme="minorEastAsia" w:hAnsiTheme="minorEastAsia" w:eastAsiaTheme="minorEastAsia" w:cstheme="minorEastAsia"/>
                <w:bCs/>
                <w:kern w:val="0"/>
                <w:sz w:val="24"/>
                <w:szCs w:val="24"/>
                <w:lang w:eastAsia="zh-CN"/>
              </w:rPr>
              <w:t>； scsqljy88808053@163.com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采购单位</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采购单位地址</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成都市邛崃市临邛镇大东街669号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报名方式及格式</w:t>
            </w:r>
          </w:p>
        </w:tc>
        <w:tc>
          <w:tcPr>
            <w:tcW w:w="6520" w:type="dxa"/>
            <w:noWrap w:val="0"/>
            <w:tcMar>
              <w:top w:w="36" w:type="dxa"/>
              <w:left w:w="36" w:type="dxa"/>
              <w:bottom w:w="36" w:type="dxa"/>
              <w:right w:w="36" w:type="dxa"/>
            </w:tcMar>
            <w:vAlign w:val="bottom"/>
          </w:tcPr>
          <w:p>
            <w:pPr>
              <w:widowControl/>
              <w:jc w:val="left"/>
              <w:rPr>
                <w:rFonts w:hint="default"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通过邮箱发送信息或电话报名；邮箱报名格式：项目名称+报名单位全称+代理人姓名+联系电话</w:t>
            </w:r>
          </w:p>
        </w:tc>
      </w:tr>
    </w:tbl>
    <w:p>
      <w:pPr>
        <w:keepNext w:val="0"/>
        <w:keepLines w:val="0"/>
        <w:pageBreakBefore w:val="0"/>
        <w:widowControl w:val="0"/>
        <w:kinsoku/>
        <w:wordWrap/>
        <w:overflowPunct/>
        <w:topLinePunct w:val="0"/>
        <w:autoSpaceDE/>
        <w:autoSpaceDN/>
        <w:bidi w:val="0"/>
        <w:adjustRightInd/>
        <w:snapToGrid/>
        <w:spacing w:line="400" w:lineRule="exact"/>
        <w:ind w:firstLine="700" w:firstLineChars="250"/>
        <w:textAlignment w:val="auto"/>
        <w:rPr>
          <w:rFonts w:hint="eastAsia" w:asciiTheme="minorEastAsia" w:hAnsiTheme="minorEastAsia" w:eastAsiaTheme="minorEastAsia" w:cstheme="minorEastAsia"/>
          <w:b w:val="0"/>
          <w:sz w:val="28"/>
          <w:szCs w:val="28"/>
        </w:rPr>
      </w:pP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b w:val="0"/>
          <w:bCs w:val="0"/>
          <w:color w:val="000000"/>
          <w:sz w:val="28"/>
          <w:szCs w:val="28"/>
        </w:rPr>
        <w:t>投标人</w:t>
      </w:r>
      <w:r>
        <w:rPr>
          <w:rFonts w:hint="eastAsia" w:asciiTheme="minorEastAsia" w:hAnsiTheme="minorEastAsia" w:eastAsiaTheme="minorEastAsia" w:cstheme="minorEastAsia"/>
          <w:b w:val="0"/>
          <w:sz w:val="28"/>
          <w:szCs w:val="28"/>
        </w:rPr>
        <w:t>资格条件要求</w:t>
      </w:r>
    </w:p>
    <w:p>
      <w:pPr>
        <w:spacing w:line="520" w:lineRule="exact"/>
        <w:ind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1、在中华人民共和国境内注册，具有独立承担民事责任能力的企业法人,近三年内无违法违纪记录（承诺函）；</w:t>
      </w:r>
    </w:p>
    <w:p>
      <w:pPr>
        <w:pStyle w:val="2"/>
        <w:spacing w:line="520" w:lineRule="exact"/>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color w:val="FF0000"/>
        </w:rPr>
        <w:t>2、具有良好商业信誉和健全的财务会计制度；</w:t>
      </w:r>
    </w:p>
    <w:p>
      <w:pPr>
        <w:pStyle w:val="2"/>
        <w:widowControl/>
        <w:kinsoku w:val="0"/>
        <w:autoSpaceDE w:val="0"/>
        <w:autoSpaceDN w:val="0"/>
        <w:adjustRightInd w:val="0"/>
        <w:snapToGrid w:val="0"/>
        <w:spacing w:line="520" w:lineRule="exact"/>
        <w:ind w:firstLine="560" w:firstLineChars="200"/>
        <w:textAlignment w:val="baseline"/>
        <w:rPr>
          <w:color w:val="000000"/>
          <w:sz w:val="32"/>
          <w:szCs w:val="32"/>
        </w:rPr>
      </w:pPr>
      <w:r>
        <w:rPr>
          <w:rFonts w:hint="eastAsia"/>
        </w:rPr>
        <w:t>3、具有履行合同所必须的设备和专业技术能力</w:t>
      </w:r>
      <w:r>
        <w:rPr>
          <w:color w:val="000000"/>
          <w:sz w:val="32"/>
          <w:szCs w:val="32"/>
        </w:rPr>
        <w:t>；</w:t>
      </w:r>
    </w:p>
    <w:p>
      <w:pPr>
        <w:spacing w:line="520" w:lineRule="exact"/>
        <w:ind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4、</w:t>
      </w:r>
      <w:r>
        <w:rPr>
          <w:rFonts w:asciiTheme="majorEastAsia" w:hAnsiTheme="majorEastAsia" w:eastAsiaTheme="majorEastAsia" w:cstheme="majorEastAsia"/>
        </w:rPr>
        <w:t xml:space="preserve"> 本项目不接受联合体参与报价。</w:t>
      </w:r>
    </w:p>
    <w:p>
      <w:pPr>
        <w:pStyle w:val="2"/>
        <w:spacing w:line="520" w:lineRule="exact"/>
        <w:ind w:firstLine="56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rPr>
        <w:t>5、本项目特定资格要求：</w:t>
      </w:r>
      <w:r>
        <w:rPr>
          <w:rFonts w:hint="eastAsia" w:asciiTheme="majorEastAsia" w:hAnsiTheme="majorEastAsia" w:eastAsiaTheme="majorEastAsia" w:cstheme="majorEastAsia"/>
          <w:color w:val="000000" w:themeColor="text1"/>
          <w14:textFill>
            <w14:solidFill>
              <w14:schemeClr w14:val="tx1"/>
            </w14:solidFill>
          </w14:textFill>
        </w:rPr>
        <w:t>具备建筑工程施工总承包三级及以上资质。</w:t>
      </w:r>
    </w:p>
    <w:p>
      <w:pPr>
        <w:pStyle w:val="3"/>
        <w:spacing w:line="520" w:lineRule="exact"/>
        <w:ind w:firstLine="560" w:firstLineChars="200"/>
      </w:pPr>
      <w:r>
        <w:rPr>
          <w:rFonts w:hint="eastAsia"/>
        </w:rPr>
        <w:t>6、法律、行政法规规定的其他条件</w:t>
      </w:r>
    </w:p>
    <w:p>
      <w:pPr>
        <w:spacing w:line="400" w:lineRule="exact"/>
        <w:jc w:val="center"/>
        <w:rPr>
          <w:rFonts w:hint="eastAsia" w:asciiTheme="minorEastAsia" w:hAnsiTheme="minorEastAsia" w:eastAsiaTheme="minorEastAsia" w:cstheme="minorEastAsia"/>
          <w:b/>
          <w:color w:val="FF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r>
        <w:rPr>
          <w:rStyle w:val="46"/>
          <w:rFonts w:hint="eastAsia"/>
          <w:b/>
          <w:bCs/>
          <w:sz w:val="28"/>
          <w:szCs w:val="28"/>
        </w:rPr>
        <w:t>第二章 采购需求</w:t>
      </w:r>
    </w:p>
    <w:p>
      <w:pPr>
        <w:spacing w:line="400" w:lineRule="exact"/>
        <w:ind w:firstLine="480" w:firstLineChars="200"/>
        <w:rPr>
          <w:rFonts w:hint="eastAsia" w:asciiTheme="minorEastAsia" w:hAnsiTheme="minorEastAsia" w:eastAsiaTheme="minorEastAsia" w:cstheme="minorEastAsia"/>
          <w:color w:val="FF0000"/>
          <w:sz w:val="24"/>
          <w:szCs w:val="24"/>
        </w:rPr>
      </w:pP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一、项目概况</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四川省南宝山服饰有限公司通过本次竞争性磋商确定1家合格的供应商，负责</w:t>
      </w:r>
      <w:r>
        <w:rPr>
          <w:rFonts w:hint="eastAsia" w:asciiTheme="minorEastAsia" w:hAnsiTheme="minorEastAsia" w:eastAsiaTheme="minorEastAsia" w:cstheme="minorEastAsia"/>
          <w:lang w:eastAsia="zh-CN"/>
        </w:rPr>
        <w:t>西郊横路场区平整和维修。</w:t>
      </w:r>
      <w:r>
        <w:rPr>
          <w:rFonts w:hint="eastAsia" w:asciiTheme="minorEastAsia" w:hAnsiTheme="minorEastAsia" w:eastAsiaTheme="minorEastAsia" w:cstheme="minorEastAsia"/>
          <w:color w:val="FF0000"/>
          <w:lang w:eastAsia="zh-CN"/>
        </w:rPr>
        <w:t>施工内容包括：挖一般土方、回填方、余方弃置、现浇构件钢筋</w:t>
      </w:r>
      <w:r>
        <w:rPr>
          <w:rFonts w:hint="eastAsia" w:asciiTheme="minorEastAsia" w:hAnsiTheme="minorEastAsia" w:eastAsiaTheme="minorEastAsia" w:cstheme="minorEastAsia"/>
          <w:color w:val="FF0000"/>
          <w:lang w:val="en-US" w:eastAsia="zh-CN"/>
        </w:rPr>
        <w:t>等</w:t>
      </w:r>
      <w:r>
        <w:rPr>
          <w:rFonts w:hint="eastAsia" w:asciiTheme="minorEastAsia" w:hAnsiTheme="minorEastAsia" w:eastAsiaTheme="minorEastAsia" w:cstheme="minorEastAsia"/>
          <w:color w:val="FF0000"/>
          <w:lang w:eastAsia="zh-CN"/>
        </w:rPr>
        <w:t>，详见工程量清单。</w:t>
      </w:r>
    </w:p>
    <w:p>
      <w:pPr>
        <w:numPr>
          <w:ilvl w:val="0"/>
          <w:numId w:val="2"/>
        </w:numPr>
        <w:ind w:left="0" w:leftChars="0" w:firstLine="560" w:firstLineChars="0"/>
        <w:rPr>
          <w:rFonts w:hint="eastAsia" w:ascii="宋体" w:hAnsi="宋体" w:cs="宋体"/>
          <w:sz w:val="28"/>
          <w:szCs w:val="28"/>
          <w:lang w:val="en-US" w:eastAsia="zh-CN"/>
        </w:rPr>
      </w:pPr>
      <w:r>
        <w:rPr>
          <w:rFonts w:hint="eastAsia" w:ascii="宋体" w:hAnsi="宋体" w:cs="宋体"/>
          <w:sz w:val="28"/>
          <w:szCs w:val="28"/>
          <w:lang w:val="en-US" w:eastAsia="zh-CN"/>
        </w:rPr>
        <w:t>商务要求</w:t>
      </w:r>
    </w:p>
    <w:p>
      <w:pPr>
        <w:pStyle w:val="2"/>
        <w:rPr>
          <w:color w:val="FF0000"/>
        </w:rPr>
      </w:pPr>
      <w:r>
        <w:rPr>
          <w:rFonts w:hint="eastAsia"/>
          <w:color w:val="FF0000"/>
          <w:lang w:val="en-US" w:eastAsia="zh-CN"/>
        </w:rPr>
        <w:t>1</w:t>
      </w:r>
      <w:r>
        <w:rPr>
          <w:rFonts w:hint="eastAsia"/>
          <w:color w:val="FF0000"/>
        </w:rPr>
        <w:t>、交付方式：合同签订之日起</w:t>
      </w:r>
      <w:r>
        <w:rPr>
          <w:rFonts w:hint="eastAsia"/>
          <w:color w:val="FF0000"/>
          <w:lang w:val="en-US" w:eastAsia="zh-CN"/>
        </w:rPr>
        <w:t>20</w:t>
      </w:r>
      <w:r>
        <w:rPr>
          <w:rFonts w:hint="eastAsia"/>
          <w:color w:val="FF0000"/>
        </w:rPr>
        <w:t>日内完成，验收合格并交付使用。</w:t>
      </w:r>
    </w:p>
    <w:p>
      <w:pPr>
        <w:pStyle w:val="2"/>
        <w:rPr>
          <w:color w:val="FF0000"/>
        </w:rPr>
      </w:pPr>
      <w:r>
        <w:rPr>
          <w:rFonts w:hint="eastAsia"/>
          <w:color w:val="FF0000"/>
          <w:lang w:val="en-US" w:eastAsia="zh-CN"/>
        </w:rPr>
        <w:t>2</w:t>
      </w:r>
      <w:r>
        <w:rPr>
          <w:rFonts w:hint="eastAsia"/>
          <w:color w:val="FF0000"/>
        </w:rPr>
        <w:t>、支付方式：项目实施完毕，验收合格并交付使用后按合同约定支付。</w:t>
      </w:r>
    </w:p>
    <w:p>
      <w:pPr>
        <w:pStyle w:val="2"/>
        <w:rPr>
          <w:color w:val="FF0000"/>
        </w:rPr>
      </w:pPr>
      <w:r>
        <w:rPr>
          <w:rFonts w:hint="eastAsia"/>
          <w:color w:val="FF0000"/>
          <w:lang w:val="en-US" w:eastAsia="zh-CN"/>
        </w:rPr>
        <w:t>3</w:t>
      </w:r>
      <w:r>
        <w:rPr>
          <w:rFonts w:hint="eastAsia"/>
          <w:color w:val="FF0000"/>
        </w:rPr>
        <w:t>、质量要求：符合国家、行业标准、四川省地方标准规定。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lang w:val="en-US" w:eastAsia="zh-CN"/>
        </w:rPr>
      </w:pPr>
      <w:r>
        <w:rPr>
          <w:rFonts w:hint="eastAsia"/>
          <w:lang w:val="en-US" w:eastAsia="zh-CN"/>
        </w:rPr>
        <w:t>三、其他未尽事宜合同约定。</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lang w:val="en-US" w:eastAsia="zh-CN"/>
        </w:rPr>
        <w:sectPr>
          <w:headerReference r:id="rId3" w:type="default"/>
          <w:footerReference r:id="rId4" w:type="default"/>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r>
        <w:rPr>
          <w:rStyle w:val="46"/>
          <w:rFonts w:hint="eastAsia"/>
          <w:b/>
          <w:bCs/>
          <w:sz w:val="28"/>
          <w:szCs w:val="28"/>
        </w:rPr>
        <w:t>第三章  投标人须知和评审</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一、投标人须知前附表</w:t>
      </w:r>
    </w:p>
    <w:tbl>
      <w:tblPr>
        <w:tblStyle w:val="21"/>
        <w:tblW w:w="1033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35"/>
        <w:gridCol w:w="6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内 容</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ind w:left="1400" w:hanging="14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4"/>
                <w:szCs w:val="24"/>
              </w:rPr>
              <w:t>四川省南宝山服饰有限公司</w:t>
            </w:r>
            <w:r>
              <w:rPr>
                <w:rFonts w:hint="eastAsia" w:asciiTheme="minorEastAsia" w:hAnsiTheme="minorEastAsia" w:eastAsiaTheme="minorEastAsia" w:cstheme="minorEastAsia"/>
                <w:bCs/>
                <w:kern w:val="0"/>
                <w:sz w:val="24"/>
                <w:szCs w:val="24"/>
                <w:lang w:eastAsia="zh-CN"/>
              </w:rPr>
              <w:t>西郊横路场区平整和维修</w:t>
            </w:r>
            <w:r>
              <w:rPr>
                <w:rFonts w:hint="eastAsia" w:asciiTheme="minorEastAsia" w:hAnsiTheme="minorEastAsia" w:eastAsiaTheme="minorEastAsia" w:cstheme="minorEastAsia"/>
                <w:sz w:val="24"/>
                <w:szCs w:val="24"/>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项目分包及说明</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投标有效期：开标后</w:t>
            </w:r>
            <w:r>
              <w:rPr>
                <w:rFonts w:hint="eastAsia" w:asciiTheme="minorEastAsia" w:hAnsiTheme="minorEastAsia" w:eastAsiaTheme="minorEastAsia" w:cstheme="minorEastAsia"/>
                <w:sz w:val="21"/>
                <w:szCs w:val="21"/>
                <w:u w:val="single"/>
              </w:rPr>
              <w:t>30</w:t>
            </w:r>
            <w:r>
              <w:rPr>
                <w:rFonts w:hint="eastAsia" w:asciiTheme="minorEastAsia" w:hAnsiTheme="minorEastAsia" w:eastAsiaTheme="minorEastAsia" w:cstheme="minorEastAsia"/>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投标文件的组成</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开标一览表一份、正本一份。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获取磋商文件时间与地点</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见第一章邀请公告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递交投标文件的时间与地点</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见第一章邀请公告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开标时间与开标地点</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见第一章邀请公告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磋商被邀请供应商数量</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不少于3家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设置成交供应商数量</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报价最高限价</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191608.53</w:t>
            </w:r>
            <w:r>
              <w:rPr>
                <w:rFonts w:hint="eastAsia" w:asciiTheme="minorEastAsia" w:hAnsiTheme="minorEastAsia" w:eastAsiaTheme="minorEastAsia" w:cstheme="minorEastAsia"/>
                <w:b/>
                <w:sz w:val="21"/>
                <w:szCs w:val="21"/>
              </w:rPr>
              <w:t>元</w:t>
            </w:r>
            <w:r>
              <w:rPr>
                <w:rFonts w:hint="eastAsia" w:asciiTheme="minorEastAsia" w:hAnsiTheme="minorEastAsia" w:eastAsiaTheme="minorEastAsia" w:cstheme="minorEastAsia"/>
                <w:b/>
                <w:sz w:val="21"/>
                <w:szCs w:val="21"/>
                <w:lang w:eastAsia="zh-CN"/>
              </w:rPr>
              <w:t>（过控价）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中标条件</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采用综合评分法，得分最高的为中标单位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投标文件包装和密封</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投标人按竞争性磋商文件第四章编制投标文件，投标文件应当包装。包装应在其封套的封口处加贴封条，并在封套的封口处加盖投标人单位章（鲜章）。</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 </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其他约定</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FF0000"/>
                <w:sz w:val="21"/>
                <w:szCs w:val="21"/>
              </w:rPr>
              <w:t>磋商评比排名确定后，排名第一的企业出现二家或二家以上，如评审得分相同，报价不一致的，由报价最低的中选；如果评审得分相同，报价也相同，则现场通过抽签方式确定供应商。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bookmarkStart w:id="1" w:name="_Toc227144303"/>
            <w:r>
              <w:rPr>
                <w:rFonts w:hint="eastAsia" w:asciiTheme="minorEastAsia" w:hAnsiTheme="minorEastAsia" w:eastAsiaTheme="minorEastAsia" w:cstheme="minorEastAsia"/>
                <w:sz w:val="21"/>
                <w:szCs w:val="21"/>
              </w:rPr>
              <w:t>15</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费用支付方式</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jc w:val="both"/>
              <w:textAlignment w:val="auto"/>
              <w:rPr>
                <w:rFonts w:hint="eastAsia" w:asciiTheme="minorEastAsia" w:hAnsiTheme="minorEastAsia" w:eastAsiaTheme="minorEastAsia" w:cstheme="minorEastAsia"/>
                <w:b/>
                <w:color w:val="FF0000"/>
                <w:sz w:val="21"/>
                <w:szCs w:val="21"/>
                <w:lang w:eastAsia="zh-CN"/>
              </w:rPr>
            </w:pPr>
            <w:r>
              <w:rPr>
                <w:rFonts w:hint="eastAsia" w:asciiTheme="minorEastAsia" w:hAnsiTheme="minorEastAsia" w:eastAsiaTheme="minorEastAsia" w:cstheme="minorEastAsia"/>
                <w:b/>
                <w:color w:val="FF0000"/>
                <w:sz w:val="21"/>
                <w:szCs w:val="21"/>
                <w:lang w:eastAsia="zh-CN"/>
              </w:rPr>
              <w:t>合同约定</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 评审</w:t>
      </w:r>
      <w:bookmarkEnd w:id="1"/>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（一）</w:t>
      </w:r>
      <w:r>
        <w:rPr>
          <w:rFonts w:hint="eastAsia" w:asciiTheme="minorEastAsia" w:hAnsiTheme="minorEastAsia" w:eastAsiaTheme="minorEastAsia" w:cstheme="minorEastAsia"/>
          <w:lang w:val="en-US" w:eastAsia="zh-CN"/>
        </w:rPr>
        <w:t>公司</w:t>
      </w:r>
      <w:r>
        <w:rPr>
          <w:rFonts w:hint="eastAsia" w:asciiTheme="minorEastAsia" w:hAnsiTheme="minorEastAsia" w:eastAsiaTheme="minorEastAsia" w:cstheme="minorEastAsia"/>
          <w:b/>
        </w:rPr>
        <w:t>成立磋商评审小组：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根据本次采购项目的性质依法成立磋商评审小组。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（二）评审原则：</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1.严格遵守公平、公正、择优的原则；</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2.对所有响应磋商通知书实质性要求的报价方一视同仁；</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3.根据符合采购需求、不超过我方最高限价，</w:t>
      </w:r>
      <w:r>
        <w:rPr>
          <w:rFonts w:hint="eastAsia" w:asciiTheme="minorEastAsia" w:hAnsiTheme="minorEastAsia" w:eastAsiaTheme="minorEastAsia" w:cstheme="minorEastAsia"/>
          <w:color w:val="FF0000"/>
        </w:rPr>
        <w:t>评审得分排序第一的原则确定为成交供应商</w:t>
      </w:r>
      <w:r>
        <w:rPr>
          <w:rFonts w:hint="eastAsia" w:asciiTheme="minorEastAsia" w:hAnsiTheme="minorEastAsia" w:eastAsiaTheme="minorEastAsia" w:cstheme="minorEastAsia"/>
        </w:rPr>
        <w:t>（磋商小组认定报价低于成本价的除外）。评分结果出现并列情况按照第二章投标人须知前附表第1</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条执行。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bCs/>
        </w:rPr>
        <w:t>（三）</w:t>
      </w:r>
      <w:r>
        <w:rPr>
          <w:rFonts w:hint="eastAsia" w:asciiTheme="minorEastAsia" w:hAnsiTheme="minorEastAsia" w:eastAsiaTheme="minorEastAsia" w:cstheme="minorEastAsia"/>
          <w:b/>
        </w:rPr>
        <w:t>评审步骤：</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bookmarkStart w:id="2" w:name="_Toc20318"/>
      <w:r>
        <w:rPr>
          <w:rFonts w:hint="eastAsia" w:asciiTheme="minorEastAsia" w:hAnsiTheme="minorEastAsia" w:eastAsiaTheme="minorEastAsia" w:cstheme="minorEastAsia"/>
        </w:rPr>
        <w:t>1.供应商资格审查</w:t>
      </w:r>
      <w:bookmarkEnd w:id="2"/>
      <w:r>
        <w:rPr>
          <w:rFonts w:hint="eastAsia" w:asciiTheme="minorEastAsia" w:hAnsiTheme="minorEastAsia" w:eastAsiaTheme="minorEastAsia" w:cstheme="minorEastAsia"/>
        </w:rPr>
        <w:t>：磋商评审小组按第一章</w:t>
      </w:r>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rPr>
        <w:t>《投标人资格条件要求》对参与竞争性磋商的供应商进行审查，符合要求的进入下一评审环节，不符合要求的为废标。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2.供应商报价审查：磋商评审小组对供应商报价书进行审查，报价超过最高限价的为废标。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3.磋商评审小组与供应商分别进行磋商，磋商结束后，供应商进行二次报价。二次报价不得</w:t>
      </w:r>
      <w:r>
        <w:rPr>
          <w:rFonts w:hint="eastAsia" w:asciiTheme="minorEastAsia" w:hAnsiTheme="minorEastAsia" w:eastAsiaTheme="minorEastAsia" w:cstheme="minorEastAsia"/>
          <w:color w:val="C00000"/>
          <w:lang w:eastAsia="zh-CN"/>
        </w:rPr>
        <w:t>高于</w:t>
      </w:r>
      <w:r>
        <w:rPr>
          <w:rFonts w:hint="eastAsia" w:asciiTheme="minorEastAsia" w:hAnsiTheme="minorEastAsia" w:eastAsiaTheme="minorEastAsia" w:cstheme="minorEastAsia"/>
        </w:rPr>
        <w:t>报价书的报价，超过为无效报价，为废标。</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磋商评审小组根据供应商提供二次报价和提供投标资料进行评审，本项目采用综合评分法，评分标准见下表：</w:t>
      </w:r>
    </w:p>
    <w:tbl>
      <w:tblPr>
        <w:tblStyle w:val="21"/>
        <w:tblW w:w="9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39"/>
        <w:gridCol w:w="1121"/>
        <w:gridCol w:w="705"/>
        <w:gridCol w:w="5485"/>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评分因素及权重</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54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投标报价</w:t>
            </w:r>
          </w:p>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0分）</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0分</w:t>
            </w:r>
          </w:p>
        </w:tc>
        <w:tc>
          <w:tcPr>
            <w:tcW w:w="54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rPr>
              <w:t>满足采购文件要求且</w:t>
            </w:r>
            <w:r>
              <w:rPr>
                <w:rFonts w:hint="eastAsia" w:ascii="宋体" w:hAnsi="宋体" w:eastAsia="宋体" w:cs="宋体"/>
                <w:bCs/>
                <w:color w:val="auto"/>
                <w:sz w:val="21"/>
                <w:szCs w:val="21"/>
                <w:highlight w:val="none"/>
                <w:lang w:val="en-US" w:eastAsia="zh-CN"/>
              </w:rPr>
              <w:t>各有效投标人报价</w:t>
            </w:r>
            <w:r>
              <w:rPr>
                <w:rFonts w:hint="eastAsia" w:ascii="宋体" w:hAnsi="宋体" w:eastAsia="宋体" w:cs="宋体"/>
                <w:bCs/>
                <w:color w:val="auto"/>
                <w:sz w:val="21"/>
                <w:szCs w:val="21"/>
                <w:highlight w:val="none"/>
                <w:lang w:val="zh-CN"/>
              </w:rPr>
              <w:t>的</w:t>
            </w:r>
            <w:r>
              <w:rPr>
                <w:rFonts w:hint="eastAsia" w:cs="宋体"/>
                <w:bCs/>
                <w:color w:val="auto"/>
                <w:sz w:val="21"/>
                <w:szCs w:val="21"/>
                <w:highlight w:val="none"/>
                <w:lang w:val="en-US" w:eastAsia="zh-CN"/>
              </w:rPr>
              <w:t>最低报价</w:t>
            </w:r>
            <w:r>
              <w:rPr>
                <w:rFonts w:hint="eastAsia" w:ascii="宋体" w:hAnsi="宋体" w:eastAsia="宋体" w:cs="宋体"/>
                <w:bCs/>
                <w:color w:val="auto"/>
                <w:sz w:val="21"/>
                <w:szCs w:val="21"/>
                <w:highlight w:val="none"/>
                <w:lang w:val="zh-CN"/>
              </w:rPr>
              <w:t>为评标基准价，其价格分为满分。其他投标人的价格分统一按照下列公式计算：投标报价得分=(评标基准价／投标报价)×</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zh-CN"/>
              </w:rPr>
              <w:t>。</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711" w:type="dxa"/>
            <w:vMerge w:val="restart"/>
            <w:tcBorders>
              <w:top w:val="single" w:color="auto" w:sz="4" w:space="0"/>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239" w:type="dxa"/>
            <w:vMerge w:val="restart"/>
            <w:tcBorders>
              <w:top w:val="single" w:color="auto" w:sz="4" w:space="0"/>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施工组织设计</w:t>
            </w:r>
          </w:p>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49</w:t>
            </w:r>
            <w:r>
              <w:rPr>
                <w:rFonts w:hint="eastAsia" w:ascii="宋体" w:hAnsi="宋体" w:eastAsia="宋体" w:cs="宋体"/>
                <w:bCs/>
                <w:color w:val="auto"/>
                <w:sz w:val="21"/>
                <w:szCs w:val="21"/>
                <w:highlight w:val="none"/>
              </w:rPr>
              <w:t>分）</w:t>
            </w:r>
          </w:p>
        </w:tc>
        <w:tc>
          <w:tcPr>
            <w:tcW w:w="1121" w:type="dxa"/>
            <w:tcBorders>
              <w:top w:val="single" w:color="auto" w:sz="4" w:space="0"/>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施工方案和技术措施</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tc>
        <w:tc>
          <w:tcPr>
            <w:tcW w:w="5485" w:type="dxa"/>
            <w:tcBorders>
              <w:top w:val="single" w:color="auto" w:sz="4" w:space="0"/>
              <w:left w:val="single" w:color="auto" w:sz="4" w:space="0"/>
              <w:right w:val="single" w:color="auto" w:sz="4" w:space="0"/>
            </w:tcBorders>
            <w:noWrap w:val="0"/>
            <w:vAlign w:val="center"/>
          </w:tcPr>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基本要求：施工方案满足本工程进度及管理需要，技术措施满足本项目的实际特点，满足现行国家施工质量验收规范。</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磋商小组根据以下评分标准进行评审：</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《施工方案与技术措施》要求包括但不限于以下要素：</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①供应商制定有各个分部分项工程完整的施工方法；</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②供应商制定有针对本项目的施工安排（有针对性的对施工用电、用水、交通进行部署）；</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③供应商制定有针对本项目施工前的准备工作计划；</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④供应商制定有施工平面布置计划方案；</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⑤供应商制定有针对本项目的物资进场计划方案；</w:t>
            </w:r>
          </w:p>
          <w:p>
            <w:pPr>
              <w:pStyle w:val="9"/>
              <w:jc w:val="both"/>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完全满足上述要求且方案与措施可行的得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sz w:val="21"/>
                <w:szCs w:val="21"/>
                <w:highlight w:val="none"/>
                <w:lang w:eastAsia="zh-CN"/>
              </w:rPr>
              <w:t>每缺少一项内容扣3分，每一项内容中有一处缺陷（不合理、不完备、不清晰、缺乏可操作性、不符合项目实际情况视同缺陷）扣1.5分，每一项内容的缺陷扣分最多扣3分，</w:t>
            </w:r>
            <w:r>
              <w:rPr>
                <w:rFonts w:hint="eastAsia" w:ascii="宋体" w:hAnsi="宋体" w:eastAsia="宋体" w:cs="宋体"/>
                <w:color w:val="auto"/>
                <w:sz w:val="21"/>
                <w:szCs w:val="21"/>
                <w:highlight w:val="none"/>
              </w:rPr>
              <w:t>扣完为止。没有提供的不得分。</w:t>
            </w:r>
          </w:p>
        </w:tc>
        <w:tc>
          <w:tcPr>
            <w:tcW w:w="725" w:type="dxa"/>
            <w:vMerge w:val="restart"/>
            <w:tcBorders>
              <w:top w:val="single" w:color="auto" w:sz="4" w:space="0"/>
              <w:left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技术评审因素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1"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239"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121" w:type="dxa"/>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质量管理体系和措施</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分</w:t>
            </w:r>
          </w:p>
        </w:tc>
        <w:tc>
          <w:tcPr>
            <w:tcW w:w="5485" w:type="dxa"/>
            <w:tcBorders>
              <w:left w:val="single" w:color="auto" w:sz="4" w:space="0"/>
              <w:right w:val="single" w:color="auto" w:sz="4" w:space="0"/>
            </w:tcBorders>
            <w:noWrap w:val="0"/>
            <w:vAlign w:val="center"/>
          </w:tcPr>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基本要求：质量管理体系健全，措施对实现质量目标有针对性。</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磋商小组根据以下评分标准进行评审：</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《质量管理体系与措施》包括但不限于以下要素：</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①供应商制定确保工程质量的技术组织措施；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②供应商制定有质量保证体系；</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③供应商制定有针对质量目标及质量控制的保证措施；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④供应商制定有质量管理制度及检查制度。</w:t>
            </w:r>
          </w:p>
          <w:p>
            <w:pPr>
              <w:pStyle w:val="9"/>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完全满足上述要求且方案与措施可行的得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每缺少一项内容扣3分，每一项内容中有一处缺陷（不合理、不完备、不清晰、缺乏可操作性、不符合项目实际情况视同缺陷）扣1.5分，每一项内容的缺陷扣分最多扣3分，</w:t>
            </w:r>
            <w:r>
              <w:rPr>
                <w:rFonts w:hint="eastAsia" w:ascii="宋体" w:hAnsi="宋体" w:eastAsia="宋体" w:cs="宋体"/>
                <w:color w:val="auto"/>
                <w:sz w:val="21"/>
                <w:szCs w:val="21"/>
                <w:highlight w:val="none"/>
              </w:rPr>
              <w:t>扣完为止。没有提供的不得分。</w:t>
            </w:r>
          </w:p>
        </w:tc>
        <w:tc>
          <w:tcPr>
            <w:tcW w:w="725" w:type="dxa"/>
            <w:vMerge w:val="continue"/>
            <w:tcBorders>
              <w:left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711"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239"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121" w:type="dxa"/>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安全文明管理体系和措施</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tc>
        <w:tc>
          <w:tcPr>
            <w:tcW w:w="5485" w:type="dxa"/>
            <w:tcBorders>
              <w:left w:val="single" w:color="auto" w:sz="4" w:space="0"/>
              <w:right w:val="single" w:color="auto" w:sz="4" w:space="0"/>
            </w:tcBorders>
            <w:noWrap w:val="0"/>
            <w:vAlign w:val="center"/>
          </w:tcPr>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基本要求：安全管理体系、安全教育及培训计划健全、安全防护符合国家及地方安全管理规定。</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磋商小组根据以下评分标准进行评审：</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《安全管理体系与措施》包括但不限于以下要素：</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①供应商制定有安全管理体系；</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②供应商制定有安全教育及培训计划；</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③供应商制定有安全技术措施和应急预案；</w:t>
            </w:r>
          </w:p>
          <w:p>
            <w:pPr>
              <w:pStyle w:val="9"/>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完全满足上述要求且方案与措施可行的得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sz w:val="21"/>
                <w:szCs w:val="21"/>
                <w:highlight w:val="none"/>
                <w:lang w:eastAsia="zh-CN"/>
              </w:rPr>
              <w:t>每缺少一项内容扣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分，每一项内容中有一处缺陷（不合理、不完备、不清晰、缺乏可操作性、不符合项目实际情况视同缺陷）扣1分，每一项内容的缺陷扣分最多扣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w:t>
            </w:r>
            <w:r>
              <w:rPr>
                <w:rFonts w:hint="eastAsia" w:ascii="宋体" w:hAnsi="宋体" w:eastAsia="宋体" w:cs="宋体"/>
                <w:color w:val="auto"/>
                <w:sz w:val="21"/>
                <w:szCs w:val="21"/>
                <w:highlight w:val="none"/>
              </w:rPr>
              <w:t>扣完为止。没有提供的不得分。</w:t>
            </w:r>
          </w:p>
        </w:tc>
        <w:tc>
          <w:tcPr>
            <w:tcW w:w="725" w:type="dxa"/>
            <w:vMerge w:val="continue"/>
            <w:tcBorders>
              <w:left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11"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239"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121" w:type="dxa"/>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环境、卫生、治安综合治理措施</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tc>
        <w:tc>
          <w:tcPr>
            <w:tcW w:w="5485" w:type="dxa"/>
            <w:tcBorders>
              <w:left w:val="single" w:color="auto" w:sz="4" w:space="0"/>
              <w:right w:val="single" w:color="auto" w:sz="4" w:space="0"/>
            </w:tcBorders>
            <w:noWrap w:val="0"/>
            <w:vAlign w:val="center"/>
          </w:tcPr>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基本要求：环境保护管理体系健全、污染物处理及排放符合国家及地方环境保护标准，技术及管理措施到位。</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磋商小组根据以下评分标准进行评审：</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《环境保护管理体系与措施》包括但不限于以下要素：</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①供应商制定有针对本项目所在环境的环境保护措施；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②供应商制定有针对本项目所在环境的卫生保护措施；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③供应商制定有针对本项目所在环境的污染物处理及排放措施；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④供应商制定有环境保护管理体系及现场文明施工措施；</w:t>
            </w:r>
          </w:p>
          <w:p>
            <w:pPr>
              <w:pStyle w:val="9"/>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完全满足上述要求且方案与措施可行的得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sz w:val="21"/>
                <w:szCs w:val="21"/>
                <w:highlight w:val="none"/>
                <w:lang w:eastAsia="zh-CN"/>
              </w:rPr>
              <w:t>每缺少一项内容扣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分，每一项内容中有一处缺陷（不合理、不完备、不清晰、缺乏可操作性、不符合项目实际情况视同缺陷）扣1分，每一项内容的缺陷扣分最多扣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w:t>
            </w:r>
            <w:r>
              <w:rPr>
                <w:rFonts w:hint="eastAsia" w:ascii="宋体" w:hAnsi="宋体" w:eastAsia="宋体" w:cs="宋体"/>
                <w:color w:val="auto"/>
                <w:sz w:val="21"/>
                <w:szCs w:val="21"/>
                <w:highlight w:val="none"/>
              </w:rPr>
              <w:t>扣完为止。没有提供的不得分。</w:t>
            </w:r>
          </w:p>
        </w:tc>
        <w:tc>
          <w:tcPr>
            <w:tcW w:w="725" w:type="dxa"/>
            <w:vMerge w:val="continue"/>
            <w:tcBorders>
              <w:left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711" w:type="dxa"/>
            <w:vMerge w:val="continue"/>
            <w:tcBorders>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239" w:type="dxa"/>
            <w:vMerge w:val="continue"/>
            <w:tcBorders>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121" w:type="dxa"/>
            <w:tcBorders>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工期及进度计划和措施</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tc>
        <w:tc>
          <w:tcPr>
            <w:tcW w:w="5485" w:type="dxa"/>
            <w:tcBorders>
              <w:left w:val="single" w:color="auto" w:sz="4" w:space="0"/>
              <w:bottom w:val="single" w:color="auto" w:sz="4" w:space="0"/>
              <w:right w:val="single" w:color="auto" w:sz="4" w:space="0"/>
            </w:tcBorders>
            <w:noWrap w:val="0"/>
            <w:vAlign w:val="center"/>
          </w:tcPr>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基本要求：工程进度计划符合采购文件要求，关键路径准确、清晰，逻辑关系正确，措施能有效保证计划的实施。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磋商小组根据以下评分标准进行评审：</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《工程进度计划与措施》包括但不限于以下要素：</w:t>
            </w:r>
          </w:p>
          <w:p>
            <w:pPr>
              <w:pStyle w:val="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①供应商制定有工程进度计划；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1分</w:t>
            </w:r>
            <w:r>
              <w:rPr>
                <w:rFonts w:hint="eastAsia" w:ascii="宋体" w:hAnsi="宋体" w:cs="宋体"/>
                <w:color w:val="auto"/>
                <w:sz w:val="21"/>
                <w:szCs w:val="21"/>
                <w:highlight w:val="none"/>
                <w:lang w:eastAsia="zh-CN"/>
              </w:rPr>
              <w:t>）</w:t>
            </w:r>
          </w:p>
          <w:p>
            <w:pPr>
              <w:pStyle w:val="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②供应商制定有施工进度网络图；</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1分</w:t>
            </w:r>
            <w:r>
              <w:rPr>
                <w:rFonts w:hint="eastAsia" w:ascii="宋体" w:hAnsi="宋体" w:cs="宋体"/>
                <w:color w:val="auto"/>
                <w:sz w:val="21"/>
                <w:szCs w:val="21"/>
                <w:highlight w:val="none"/>
                <w:lang w:eastAsia="zh-CN"/>
              </w:rPr>
              <w:t>）</w:t>
            </w:r>
          </w:p>
          <w:p>
            <w:pPr>
              <w:pStyle w:val="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③供应商制定有工期保证措施；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2分</w:t>
            </w:r>
            <w:r>
              <w:rPr>
                <w:rFonts w:hint="eastAsia" w:ascii="宋体" w:hAnsi="宋体" w:cs="宋体"/>
                <w:color w:val="auto"/>
                <w:sz w:val="21"/>
                <w:szCs w:val="21"/>
                <w:highlight w:val="none"/>
                <w:lang w:eastAsia="zh-CN"/>
              </w:rPr>
              <w:t>）</w:t>
            </w:r>
          </w:p>
          <w:p>
            <w:pPr>
              <w:pStyle w:val="9"/>
              <w:jc w:val="both"/>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④供应商制定有物资采购计划。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2分</w:t>
            </w:r>
            <w:r>
              <w:rPr>
                <w:rFonts w:hint="eastAsia" w:ascii="宋体" w:hAnsi="宋体" w:cs="宋体"/>
                <w:color w:val="auto"/>
                <w:sz w:val="21"/>
                <w:szCs w:val="21"/>
                <w:highlight w:val="none"/>
                <w:lang w:eastAsia="zh-CN"/>
              </w:rPr>
              <w:t>）</w:t>
            </w:r>
          </w:p>
          <w:p>
            <w:pPr>
              <w:pStyle w:val="9"/>
              <w:jc w:val="both"/>
              <w:rPr>
                <w:rFonts w:hint="eastAsia" w:ascii="宋体" w:hAnsi="宋体" w:cs="宋体"/>
                <w:color w:val="auto"/>
                <w:sz w:val="21"/>
                <w:szCs w:val="21"/>
                <w:highlight w:val="none"/>
                <w:lang w:eastAsia="zh-CN"/>
              </w:rPr>
            </w:pPr>
          </w:p>
          <w:p>
            <w:pPr>
              <w:pStyle w:val="9"/>
              <w:jc w:val="both"/>
              <w:rPr>
                <w:rFonts w:hint="default" w:ascii="宋体" w:hAnsi="宋体" w:eastAsia="宋体" w:cs="宋体"/>
                <w:color w:val="C00000"/>
                <w:sz w:val="21"/>
                <w:szCs w:val="21"/>
                <w:highlight w:val="none"/>
                <w:lang w:val="en-US" w:eastAsia="zh-CN"/>
              </w:rPr>
            </w:pPr>
            <w:r>
              <w:rPr>
                <w:rFonts w:hint="eastAsia" w:ascii="宋体" w:hAnsi="宋体" w:cs="宋体"/>
                <w:color w:val="auto"/>
                <w:sz w:val="21"/>
                <w:szCs w:val="21"/>
                <w:highlight w:val="none"/>
                <w:lang w:eastAsia="zh-CN"/>
              </w:rPr>
              <w:t>⑤</w:t>
            </w:r>
            <w:r>
              <w:rPr>
                <w:rFonts w:hint="eastAsia" w:ascii="宋体" w:hAnsi="宋体" w:eastAsia="宋体" w:cs="宋体"/>
                <w:color w:val="C00000"/>
                <w:sz w:val="21"/>
                <w:szCs w:val="21"/>
                <w:highlight w:val="none"/>
              </w:rPr>
              <w:t>供应商制定</w:t>
            </w:r>
            <w:r>
              <w:rPr>
                <w:rFonts w:hint="eastAsia" w:ascii="宋体" w:hAnsi="宋体" w:cs="宋体"/>
                <w:color w:val="C00000"/>
                <w:sz w:val="21"/>
                <w:szCs w:val="21"/>
                <w:highlight w:val="none"/>
                <w:lang w:eastAsia="zh-CN"/>
              </w:rPr>
              <w:t>满足</w:t>
            </w:r>
            <w:r>
              <w:rPr>
                <w:rFonts w:hint="eastAsia" w:ascii="宋体" w:hAnsi="宋体" w:cs="宋体"/>
                <w:color w:val="C00000"/>
                <w:sz w:val="21"/>
                <w:szCs w:val="21"/>
                <w:highlight w:val="none"/>
                <w:lang w:val="en-US" w:eastAsia="zh-CN"/>
              </w:rPr>
              <w:t>20天工期要求基础上，每提前两天得1分，最高2分。（2分）</w:t>
            </w:r>
          </w:p>
          <w:p>
            <w:pPr>
              <w:pStyle w:val="9"/>
              <w:jc w:val="both"/>
              <w:rPr>
                <w:rFonts w:hint="eastAsia" w:ascii="宋体" w:hAnsi="宋体" w:eastAsia="宋体" w:cs="宋体"/>
                <w:color w:val="auto"/>
                <w:sz w:val="21"/>
                <w:szCs w:val="21"/>
                <w:highlight w:val="none"/>
              </w:rPr>
            </w:pPr>
          </w:p>
          <w:p>
            <w:pPr>
              <w:pStyle w:val="9"/>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方案中每有一处要素缺项或缺陷、缺乏可操作性、不符合项目实际情况视同缺陷</w:t>
            </w:r>
            <w:r>
              <w:rPr>
                <w:rFonts w:hint="eastAsia" w:ascii="宋体" w:hAnsi="宋体" w:cs="宋体"/>
                <w:color w:val="auto"/>
                <w:sz w:val="21"/>
                <w:szCs w:val="21"/>
                <w:highlight w:val="none"/>
                <w:lang w:eastAsia="zh-CN"/>
              </w:rPr>
              <w:t>该项不得分</w:t>
            </w:r>
            <w:r>
              <w:rPr>
                <w:rFonts w:hint="eastAsia" w:ascii="宋体" w:hAnsi="宋体" w:eastAsia="宋体" w:cs="宋体"/>
                <w:color w:val="auto"/>
                <w:sz w:val="21"/>
                <w:szCs w:val="21"/>
                <w:highlight w:val="none"/>
              </w:rPr>
              <w:t>，没有提供</w:t>
            </w:r>
            <w:r>
              <w:rPr>
                <w:rFonts w:hint="eastAsia" w:ascii="宋体" w:hAnsi="宋体" w:cs="宋体"/>
                <w:color w:val="auto"/>
                <w:sz w:val="21"/>
                <w:szCs w:val="21"/>
                <w:highlight w:val="none"/>
                <w:lang w:eastAsia="zh-CN"/>
              </w:rPr>
              <w:t>工期计划或工期计划超过</w:t>
            </w:r>
            <w:r>
              <w:rPr>
                <w:rFonts w:hint="eastAsia" w:ascii="宋体" w:hAnsi="宋体" w:cs="宋体"/>
                <w:color w:val="auto"/>
                <w:sz w:val="21"/>
                <w:szCs w:val="21"/>
                <w:highlight w:val="none"/>
                <w:lang w:val="en-US" w:eastAsia="zh-CN"/>
              </w:rPr>
              <w:t>20天</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的不得分。</w:t>
            </w:r>
          </w:p>
        </w:tc>
        <w:tc>
          <w:tcPr>
            <w:tcW w:w="725" w:type="dxa"/>
            <w:vMerge w:val="continue"/>
            <w:tcBorders>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项目管理机构</w:t>
            </w:r>
          </w:p>
          <w:p>
            <w:pPr>
              <w:shd w:val="clear" w:color="auto" w:fill="auto"/>
              <w:wordWrap w:val="0"/>
              <w:spacing w:line="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分）</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人员配置</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12分</w:t>
            </w:r>
          </w:p>
        </w:tc>
        <w:tc>
          <w:tcPr>
            <w:tcW w:w="54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1、项目经理：具有建筑类中级及以上职称资格得2分，本项最多得2分。</w:t>
            </w:r>
          </w:p>
          <w:p>
            <w:pPr>
              <w:shd w:val="clear" w:color="auto" w:fill="auto"/>
              <w:wordWrap w:val="0"/>
              <w:spacing w:line="0" w:lineRule="atLeas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2、技术负责人：具有建筑类中级职称得2分，高级职称得4分，本项最多得4分。</w:t>
            </w:r>
          </w:p>
          <w:p>
            <w:pPr>
              <w:shd w:val="clear" w:color="auto" w:fill="auto"/>
              <w:wordWrap w:val="0"/>
              <w:spacing w:line="0" w:lineRule="atLeas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3、其他人员：配备安全员、质量员、材料员、资料员、施工员、造价工程师，且相应岗位证书齐全的得6分；每缺少一个扣1分。</w:t>
            </w:r>
          </w:p>
          <w:p>
            <w:pPr>
              <w:shd w:val="clear" w:color="auto" w:fill="auto"/>
              <w:wordWrap w:val="0"/>
              <w:spacing w:line="0" w:lineRule="atLeast"/>
              <w:jc w:val="both"/>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注：</w:t>
            </w:r>
          </w:p>
          <w:p>
            <w:pPr>
              <w:shd w:val="clear" w:color="auto" w:fill="auto"/>
              <w:wordWrap w:val="0"/>
              <w:spacing w:line="0" w:lineRule="atLeas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eastAsia="zh-CN"/>
              </w:rPr>
              <w:t>人员不重复积计分，拟派人员须为供应商本单位人员，相关执业资格证书须注册在本单位，拟派人员须提供供应商</w:t>
            </w:r>
            <w:r>
              <w:rPr>
                <w:rFonts w:hint="eastAsia" w:ascii="宋体" w:hAnsi="宋体" w:eastAsia="宋体" w:cs="宋体"/>
                <w:b/>
                <w:bCs w:val="0"/>
                <w:color w:val="auto"/>
                <w:sz w:val="21"/>
                <w:szCs w:val="21"/>
                <w:highlight w:val="none"/>
                <w:lang w:val="en-US" w:eastAsia="zh-CN"/>
              </w:rPr>
              <w:t>的</w:t>
            </w:r>
            <w:r>
              <w:rPr>
                <w:rFonts w:hint="eastAsia" w:eastAsia="宋体" w:cs="宋体"/>
                <w:b/>
                <w:bCs w:val="0"/>
                <w:color w:val="auto"/>
                <w:sz w:val="21"/>
                <w:szCs w:val="21"/>
                <w:highlight w:val="none"/>
                <w:lang w:val="en-US" w:eastAsia="zh-CN"/>
              </w:rPr>
              <w:t>相关在职</w:t>
            </w:r>
            <w:r>
              <w:rPr>
                <w:rFonts w:hint="eastAsia" w:ascii="宋体" w:hAnsi="宋体" w:eastAsia="宋体" w:cs="宋体"/>
                <w:b/>
                <w:bCs w:val="0"/>
                <w:color w:val="auto"/>
                <w:sz w:val="21"/>
                <w:szCs w:val="21"/>
                <w:highlight w:val="none"/>
                <w:lang w:val="en-US" w:eastAsia="zh-CN"/>
              </w:rPr>
              <w:t>证明，否则不予计分。</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kern w:val="2"/>
                <w:sz w:val="21"/>
                <w:szCs w:val="21"/>
                <w:highlight w:val="none"/>
                <w:lang w:val="en-US" w:eastAsia="zh-CN" w:bidi="ar-SA"/>
              </w:rPr>
            </w:pPr>
            <w:r>
              <w:rPr>
                <w:rFonts w:hint="eastAsia" w:eastAsia="宋体" w:cs="宋体"/>
                <w:bCs/>
                <w:color w:val="auto"/>
                <w:sz w:val="21"/>
                <w:szCs w:val="21"/>
                <w:highlight w:val="none"/>
                <w:lang w:val="en-US" w:eastAsia="zh-CN"/>
              </w:rPr>
              <w:t>4</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履约能力</w:t>
            </w:r>
          </w:p>
          <w:p>
            <w:pPr>
              <w:shd w:val="clear" w:color="auto" w:fill="auto"/>
              <w:wordWrap w:val="0"/>
              <w:spacing w:line="0" w:lineRule="atLeas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w:t>
            </w:r>
            <w:r>
              <w:rPr>
                <w:rFonts w:hint="eastAsia"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类似项目业绩</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kern w:val="2"/>
                <w:sz w:val="21"/>
                <w:szCs w:val="21"/>
                <w:highlight w:val="none"/>
                <w:lang w:val="en-US" w:eastAsia="zh-CN" w:bidi="ar-SA"/>
              </w:rPr>
            </w:pPr>
            <w:r>
              <w:rPr>
                <w:rFonts w:hint="eastAsia"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w:t>
            </w:r>
          </w:p>
        </w:tc>
        <w:tc>
          <w:tcPr>
            <w:tcW w:w="54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w:t>
            </w:r>
            <w:r>
              <w:rPr>
                <w:rFonts w:hint="eastAsia" w:ascii="宋体" w:hAnsi="宋体" w:eastAsia="宋体" w:cs="宋体"/>
                <w:bCs/>
                <w:color w:val="auto"/>
                <w:sz w:val="21"/>
                <w:szCs w:val="21"/>
                <w:highlight w:val="none"/>
                <w:lang w:val="en-US" w:eastAsia="zh-CN"/>
              </w:rPr>
              <w:t>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1月1日</w:t>
            </w:r>
            <w:r>
              <w:rPr>
                <w:rFonts w:hint="eastAsia" w:ascii="宋体" w:hAnsi="宋体" w:eastAsia="宋体" w:cs="宋体"/>
                <w:bCs/>
                <w:color w:val="auto"/>
                <w:sz w:val="21"/>
                <w:szCs w:val="21"/>
                <w:highlight w:val="none"/>
              </w:rPr>
              <w:t>以来已完成 1 个类似业绩得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分，每增加一个加</w:t>
            </w:r>
            <w:r>
              <w:rPr>
                <w:rFonts w:hint="eastAsia"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分，本项</w:t>
            </w:r>
            <w:r>
              <w:rPr>
                <w:rFonts w:hint="eastAsia" w:ascii="宋体" w:hAnsi="宋体" w:cs="宋体"/>
                <w:bCs/>
                <w:color w:val="auto"/>
                <w:sz w:val="21"/>
                <w:szCs w:val="21"/>
                <w:highlight w:val="none"/>
                <w:lang w:val="en-US" w:eastAsia="zh-CN"/>
              </w:rPr>
              <w:t>最高得</w:t>
            </w:r>
            <w:r>
              <w:rPr>
                <w:rFonts w:hint="eastAsia"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 xml:space="preserve">分。 </w:t>
            </w:r>
          </w:p>
          <w:p>
            <w:pPr>
              <w:shd w:val="clear" w:color="auto" w:fill="auto"/>
              <w:wordWrap w:val="0"/>
              <w:spacing w:line="0" w:lineRule="atLeast"/>
              <w:jc w:val="both"/>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注：</w:t>
            </w:r>
          </w:p>
          <w:p>
            <w:pPr>
              <w:shd w:val="clear" w:color="auto" w:fill="auto"/>
              <w:wordWrap w:val="0"/>
              <w:spacing w:line="0" w:lineRule="atLeast"/>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类似业绩指：</w:t>
            </w:r>
            <w:r>
              <w:rPr>
                <w:rFonts w:hint="eastAsia" w:ascii="宋体" w:hAnsi="宋体" w:eastAsia="宋体" w:cs="宋体"/>
                <w:b/>
                <w:bCs w:val="0"/>
                <w:color w:val="auto"/>
                <w:sz w:val="21"/>
                <w:szCs w:val="21"/>
                <w:highlight w:val="none"/>
                <w:lang w:eastAsia="zh-CN"/>
              </w:rPr>
              <w:t>房屋建筑</w:t>
            </w:r>
            <w:r>
              <w:rPr>
                <w:rFonts w:hint="eastAsia" w:ascii="宋体" w:hAnsi="宋体" w:eastAsia="宋体" w:cs="宋体"/>
                <w:b/>
                <w:bCs w:val="0"/>
                <w:color w:val="auto"/>
                <w:sz w:val="21"/>
                <w:szCs w:val="21"/>
                <w:highlight w:val="none"/>
              </w:rPr>
              <w:t>工程施工业绩</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业绩时间以竣工验收时间为准。</w:t>
            </w:r>
          </w:p>
          <w:p>
            <w:pPr>
              <w:shd w:val="clear" w:color="auto" w:fill="auto"/>
              <w:wordWrap w:val="0"/>
              <w:spacing w:line="0" w:lineRule="atLeas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eastAsia="zh-CN"/>
              </w:rPr>
              <w:t>业绩须提供中标（成交）通知书</w:t>
            </w:r>
            <w:r>
              <w:rPr>
                <w:rFonts w:hint="eastAsia" w:ascii="宋体" w:hAnsi="宋体" w:eastAsia="宋体" w:cs="宋体"/>
                <w:b/>
                <w:bCs w:val="0"/>
                <w:color w:val="auto"/>
                <w:sz w:val="21"/>
                <w:szCs w:val="21"/>
                <w:highlight w:val="none"/>
                <w:lang w:val="en-US" w:eastAsia="zh-CN"/>
              </w:rPr>
              <w:t>或</w:t>
            </w:r>
            <w:r>
              <w:rPr>
                <w:rFonts w:hint="eastAsia" w:ascii="宋体" w:hAnsi="宋体" w:eastAsia="宋体" w:cs="宋体"/>
                <w:b/>
                <w:bCs w:val="0"/>
                <w:color w:val="auto"/>
                <w:sz w:val="21"/>
                <w:szCs w:val="21"/>
                <w:highlight w:val="none"/>
                <w:lang w:eastAsia="zh-CN"/>
              </w:rPr>
              <w:t>合同</w:t>
            </w:r>
            <w:r>
              <w:rPr>
                <w:rFonts w:hint="eastAsia" w:ascii="宋体" w:hAnsi="宋体" w:eastAsia="宋体" w:cs="宋体"/>
                <w:b/>
                <w:bCs w:val="0"/>
                <w:color w:val="auto"/>
                <w:sz w:val="21"/>
                <w:szCs w:val="21"/>
                <w:highlight w:val="none"/>
                <w:lang w:val="en-US" w:eastAsia="zh-CN"/>
              </w:rPr>
              <w:t>或</w:t>
            </w:r>
            <w:r>
              <w:rPr>
                <w:rFonts w:hint="eastAsia" w:ascii="宋体" w:hAnsi="宋体" w:eastAsia="宋体" w:cs="宋体"/>
                <w:b/>
                <w:bCs w:val="0"/>
                <w:color w:val="auto"/>
                <w:sz w:val="21"/>
                <w:szCs w:val="21"/>
                <w:highlight w:val="none"/>
                <w:lang w:eastAsia="zh-CN"/>
              </w:rPr>
              <w:t>竣工验收报告，证明材料未提供齐全不予计分。</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共同评审因素</w:t>
            </w:r>
          </w:p>
        </w:tc>
      </w:tr>
    </w:tbl>
    <w:p>
      <w:pPr>
        <w:pStyle w:val="2"/>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bookmarkStart w:id="3" w:name="_Toc221"/>
      <w:r>
        <w:rPr>
          <w:rFonts w:hint="eastAsia"/>
        </w:rPr>
        <w:t>5.确定成交</w:t>
      </w:r>
      <w:bookmarkEnd w:id="3"/>
      <w:r>
        <w:rPr>
          <w:rFonts w:hint="eastAsia"/>
        </w:rPr>
        <w:t>供应商：磋商评审小组根据评分情况由高到低对供应商进行排序，排名第一的作为成交供应商。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6.磋商评审小组向在场所有参与本次竞争性磋商供应商宣布评审结果。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r>
        <w:rPr>
          <w:rStyle w:val="46"/>
          <w:rFonts w:hint="eastAsia"/>
          <w:b/>
          <w:bCs/>
          <w:sz w:val="28"/>
          <w:szCs w:val="28"/>
        </w:rPr>
        <w:t>第四章 报价文件格式</w:t>
      </w:r>
    </w:p>
    <w:p>
      <w:pPr>
        <w:spacing w:line="360" w:lineRule="auto"/>
        <w:rPr>
          <w:rFonts w:hint="eastAsia" w:asciiTheme="minorEastAsia" w:hAnsiTheme="minorEastAsia" w:eastAsiaTheme="minorEastAsia" w:cstheme="minorEastAsia"/>
          <w:b/>
          <w:bCs/>
          <w:snapToGrid w:val="0"/>
        </w:rPr>
      </w:pPr>
    </w:p>
    <w:p>
      <w:pPr>
        <w:snapToGrid w:val="0"/>
        <w:spacing w:line="360" w:lineRule="auto"/>
        <w:jc w:val="center"/>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b/>
          <w:snapToGrid w:val="0"/>
          <w:sz w:val="36"/>
          <w:szCs w:val="36"/>
        </w:rPr>
        <w:t>报 价 书</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b/>
          <w:sz w:val="32"/>
          <w:szCs w:val="32"/>
        </w:rPr>
        <w:t>四川省南宝山服饰有限公司：</w:t>
      </w:r>
    </w:p>
    <w:p>
      <w:pPr>
        <w:spacing w:line="440" w:lineRule="exact"/>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u w:val="single"/>
        </w:rPr>
        <w:t xml:space="preserve">                     </w:t>
      </w:r>
      <w:r>
        <w:rPr>
          <w:rFonts w:hint="eastAsia" w:asciiTheme="minorEastAsia" w:hAnsiTheme="minorEastAsia" w:eastAsiaTheme="minorEastAsia" w:cstheme="minorEastAsia"/>
          <w:snapToGrid w:val="0"/>
        </w:rPr>
        <w:t>（企业全称）法人代表</w:t>
      </w:r>
      <w:r>
        <w:rPr>
          <w:rFonts w:hint="eastAsia" w:asciiTheme="minorEastAsia" w:hAnsiTheme="minorEastAsia" w:eastAsiaTheme="minorEastAsia" w:cstheme="minorEastAsia"/>
          <w:snapToGrid w:val="0"/>
          <w:u w:val="single"/>
        </w:rPr>
        <w:t xml:space="preserve">              </w:t>
      </w:r>
      <w:r>
        <w:rPr>
          <w:rFonts w:hint="eastAsia" w:asciiTheme="minorEastAsia" w:hAnsiTheme="minorEastAsia" w:eastAsiaTheme="minorEastAsia" w:cstheme="minorEastAsia"/>
          <w:snapToGrid w:val="0"/>
        </w:rPr>
        <w:t>授权</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u w:val="single"/>
        </w:rPr>
        <w:t xml:space="preserve">           </w:t>
      </w:r>
      <w:r>
        <w:rPr>
          <w:rFonts w:hint="eastAsia" w:asciiTheme="minorEastAsia" w:hAnsiTheme="minorEastAsia" w:eastAsiaTheme="minorEastAsia" w:cstheme="minorEastAsia"/>
          <w:snapToGrid w:val="0"/>
        </w:rPr>
        <w:t>为全权代表（联系电话：</w:t>
      </w:r>
      <w:r>
        <w:rPr>
          <w:rFonts w:hint="eastAsia" w:asciiTheme="minorEastAsia" w:hAnsiTheme="minorEastAsia" w:eastAsiaTheme="minorEastAsia" w:cstheme="minorEastAsia"/>
          <w:snapToGrid w:val="0"/>
          <w:szCs w:val="24"/>
          <w:u w:val="single"/>
        </w:rPr>
        <w:t xml:space="preserve">           </w:t>
      </w:r>
      <w:r>
        <w:rPr>
          <w:rFonts w:hint="eastAsia" w:asciiTheme="minorEastAsia" w:hAnsiTheme="minorEastAsia" w:eastAsiaTheme="minorEastAsia" w:cstheme="minorEastAsia"/>
          <w:snapToGrid w:val="0"/>
        </w:rPr>
        <w:t>），参加贵方组织的</w:t>
      </w:r>
      <w:r>
        <w:rPr>
          <w:rFonts w:hint="eastAsia" w:asciiTheme="minorEastAsia" w:hAnsiTheme="minorEastAsia" w:eastAsiaTheme="minorEastAsia" w:cstheme="minorEastAsia"/>
          <w:bCs/>
          <w:kern w:val="0"/>
          <w:u w:val="single"/>
        </w:rPr>
        <w:t>四川省南宝山服饰有限公司</w:t>
      </w:r>
      <w:r>
        <w:rPr>
          <w:rFonts w:hint="eastAsia" w:asciiTheme="minorEastAsia" w:hAnsiTheme="minorEastAsia" w:eastAsiaTheme="minorEastAsia" w:cstheme="minorEastAsia"/>
          <w:bCs/>
          <w:kern w:val="0"/>
          <w:u w:val="single"/>
          <w:lang w:eastAsia="zh-CN"/>
        </w:rPr>
        <w:t>西郊横路场区平整和维修</w:t>
      </w:r>
      <w:r>
        <w:rPr>
          <w:rFonts w:hint="eastAsia" w:asciiTheme="minorEastAsia" w:hAnsiTheme="minorEastAsia" w:eastAsiaTheme="minorEastAsia" w:cstheme="minorEastAsia"/>
          <w:u w:val="single"/>
        </w:rPr>
        <w:t>采购</w:t>
      </w:r>
      <w:r>
        <w:rPr>
          <w:rFonts w:hint="eastAsia" w:asciiTheme="minorEastAsia" w:hAnsiTheme="minorEastAsia" w:eastAsiaTheme="minorEastAsia" w:cstheme="minorEastAsia"/>
          <w:snapToGrid w:val="0"/>
        </w:rPr>
        <w:t>（项目名称）的有关活动，我们已经仔细研究并接受竞争性磋商文件所有内容，自愿参与该项目的磋商活动，并对</w:t>
      </w:r>
      <w:r>
        <w:rPr>
          <w:rFonts w:hint="eastAsia" w:asciiTheme="minorEastAsia" w:hAnsiTheme="minorEastAsia" w:eastAsiaTheme="minorEastAsia" w:cstheme="minorEastAsia"/>
          <w:snapToGrid w:val="0"/>
          <w:szCs w:val="24"/>
        </w:rPr>
        <w:t>该</w:t>
      </w:r>
      <w:r>
        <w:rPr>
          <w:rFonts w:hint="eastAsia" w:asciiTheme="minorEastAsia" w:hAnsiTheme="minorEastAsia" w:eastAsiaTheme="minorEastAsia" w:cstheme="minorEastAsia"/>
          <w:snapToGrid w:val="0"/>
        </w:rPr>
        <w:t>项目进行报价和承诺如下：</w:t>
      </w:r>
    </w:p>
    <w:p>
      <w:pPr>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rPr>
        <w:t>1、</w:t>
      </w:r>
      <w:r>
        <w:rPr>
          <w:rFonts w:hint="eastAsia" w:asciiTheme="minorEastAsia" w:hAnsiTheme="minorEastAsia" w:eastAsiaTheme="minorEastAsia" w:cstheme="minorEastAsia"/>
        </w:rPr>
        <w:t>我方自愿按照磋商文件规定的各项要求向采购人提供所需服务，总报价为人民币</w:t>
      </w:r>
      <w:r>
        <w:rPr>
          <w:rFonts w:hint="eastAsia" w:asciiTheme="minorEastAsia" w:hAnsiTheme="minorEastAsia" w:eastAsiaTheme="minorEastAsia" w:cstheme="minorEastAsia"/>
          <w:u w:val="single"/>
        </w:rPr>
        <w:t>XX</w:t>
      </w:r>
      <w:r>
        <w:rPr>
          <w:rFonts w:hint="eastAsia" w:asciiTheme="minorEastAsia" w:hAnsiTheme="minorEastAsia" w:eastAsiaTheme="minorEastAsia" w:cstheme="minorEastAsia"/>
        </w:rPr>
        <w:t>万元（大写：XXXX）。</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2、保证响应并遵守竞争性磋商文件中的有关规定。</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3、成为成交供应商并签订正式合同后，保证忠实地履行双方所签的服务合同、承担合同规定的责任和义务。</w:t>
      </w:r>
    </w:p>
    <w:p>
      <w:pPr>
        <w:widowControl/>
        <w:shd w:val="clear" w:color="auto" w:fill="FFFFFF"/>
        <w:spacing w:line="560" w:lineRule="exact"/>
        <w:ind w:firstLine="56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以上为我方参加竞争性磋商的报价书，如违反，则自行承担相应法律责任，自愿按照相关规定接受处罚。</w:t>
      </w:r>
    </w:p>
    <w:p>
      <w:pPr>
        <w:snapToGrid w:val="0"/>
        <w:spacing w:line="360" w:lineRule="auto"/>
        <w:ind w:firstLine="480"/>
        <w:rPr>
          <w:rFonts w:hint="eastAsia" w:asciiTheme="minorEastAsia" w:hAnsiTheme="minorEastAsia" w:eastAsiaTheme="minorEastAsia" w:cstheme="minorEastAsia"/>
          <w:snapToGrid w:val="0"/>
        </w:rPr>
      </w:pP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 xml:space="preserve">                                </w:t>
      </w:r>
    </w:p>
    <w:p>
      <w:pPr>
        <w:snapToGrid w:val="0"/>
        <w:spacing w:line="360" w:lineRule="auto"/>
        <w:ind w:firstLine="3080" w:firstLineChars="1100"/>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单位名称（盖企业鲜章）：</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 xml:space="preserve">                      授权代表签字：</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 xml:space="preserve">                      公司地址：</w:t>
      </w:r>
    </w:p>
    <w:p>
      <w:pPr>
        <w:snapToGrid w:val="0"/>
        <w:spacing w:line="360" w:lineRule="auto"/>
        <w:rPr>
          <w:rFonts w:hint="eastAsia" w:asciiTheme="minorEastAsia" w:hAnsiTheme="minorEastAsia" w:eastAsiaTheme="minorEastAsia" w:cstheme="minorEastAsia"/>
          <w:snapToGrid w:val="0"/>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r>
        <w:rPr>
          <w:rFonts w:hint="eastAsia" w:asciiTheme="minorEastAsia" w:hAnsiTheme="minorEastAsia" w:eastAsiaTheme="minorEastAsia" w:cstheme="minorEastAsia"/>
          <w:snapToGrid w:val="0"/>
        </w:rPr>
        <w:t xml:space="preserve">                      日    期：</w:t>
      </w:r>
    </w:p>
    <w:p>
      <w:pPr>
        <w:spacing w:line="360" w:lineRule="auto"/>
        <w:jc w:val="center"/>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b/>
          <w:snapToGrid w:val="0"/>
          <w:sz w:val="36"/>
          <w:szCs w:val="36"/>
        </w:rPr>
        <w:t>资质证明文件</w:t>
      </w:r>
    </w:p>
    <w:p>
      <w:pPr>
        <w:jc w:val="center"/>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rPr>
        <w:t>包括：企业资质证书、营业执照、税务登记证、法人和授权代表身份证的复印件，加盖企业鲜章</w:t>
      </w:r>
    </w:p>
    <w:p>
      <w:pPr>
        <w:rPr>
          <w:rFonts w:hint="eastAsia" w:asciiTheme="minorEastAsia" w:hAnsiTheme="minorEastAsia" w:eastAsiaTheme="minorEastAsia" w:cstheme="minorEastAsia"/>
          <w:bCs/>
          <w:snapToGrid w:val="0"/>
          <w:color w:val="FF0000"/>
        </w:rPr>
      </w:pPr>
    </w:p>
    <w:p>
      <w:pPr>
        <w:rPr>
          <w:rFonts w:hint="eastAsia" w:asciiTheme="minorEastAsia" w:hAnsiTheme="minorEastAsia" w:eastAsiaTheme="minorEastAsia" w:cstheme="minorEastAsia"/>
        </w:rPr>
      </w:pPr>
    </w:p>
    <w:p>
      <w:pPr>
        <w:spacing w:line="500" w:lineRule="exact"/>
        <w:ind w:firstLine="560" w:firstLineChars="200"/>
        <w:rPr>
          <w:rFonts w:hint="eastAsia" w:asciiTheme="minorEastAsia" w:hAnsiTheme="minorEastAsia" w:eastAsiaTheme="minorEastAsia" w:cstheme="minorEastAsia"/>
          <w:color w:val="000000"/>
        </w:rPr>
      </w:pPr>
    </w:p>
    <w:p>
      <w:pPr>
        <w:pStyle w:val="2"/>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Theme="minorEastAsia" w:hAnsiTheme="minorEastAsia" w:eastAsiaTheme="minorEastAsia" w:cstheme="minorEastAsia"/>
          <w:b/>
          <w:kern w:val="1"/>
          <w:sz w:val="32"/>
          <w:szCs w:val="32"/>
        </w:rPr>
      </w:pPr>
      <w:r>
        <w:rPr>
          <w:rFonts w:hint="eastAsia" w:asciiTheme="minorEastAsia" w:hAnsiTheme="minorEastAsia" w:eastAsiaTheme="minorEastAsia" w:cstheme="minorEastAsia"/>
          <w:b/>
          <w:kern w:val="1"/>
          <w:sz w:val="32"/>
          <w:szCs w:val="32"/>
        </w:rPr>
        <w:t>类似项目业绩一览表</w:t>
      </w:r>
    </w:p>
    <w:p>
      <w:pPr>
        <w:spacing w:line="400" w:lineRule="exact"/>
        <w:rPr>
          <w:rFonts w:hint="eastAsia" w:asciiTheme="minorEastAsia" w:hAnsiTheme="minorEastAsia" w:eastAsiaTheme="minorEastAsia" w:cstheme="minorEastAsia"/>
          <w:kern w:val="1"/>
          <w:sz w:val="24"/>
        </w:rPr>
      </w:pPr>
    </w:p>
    <w:tbl>
      <w:tblPr>
        <w:tblStyle w:val="21"/>
        <w:tblW w:w="9855" w:type="dxa"/>
        <w:jc w:val="center"/>
        <w:tblLayout w:type="fixed"/>
        <w:tblCellMar>
          <w:top w:w="0" w:type="dxa"/>
          <w:left w:w="54" w:type="dxa"/>
          <w:bottom w:w="0" w:type="dxa"/>
          <w:right w:w="54" w:type="dxa"/>
        </w:tblCellMar>
      </w:tblPr>
      <w:tblGrid>
        <w:gridCol w:w="827"/>
        <w:gridCol w:w="1654"/>
        <w:gridCol w:w="1516"/>
        <w:gridCol w:w="1334"/>
        <w:gridCol w:w="1447"/>
        <w:gridCol w:w="1558"/>
        <w:gridCol w:w="20"/>
        <w:gridCol w:w="1499"/>
      </w:tblGrid>
      <w:tr>
        <w:tblPrEx>
          <w:tblCellMar>
            <w:top w:w="0" w:type="dxa"/>
            <w:left w:w="54" w:type="dxa"/>
            <w:bottom w:w="0" w:type="dxa"/>
            <w:right w:w="54" w:type="dxa"/>
          </w:tblCellMar>
        </w:tblPrEx>
        <w:trPr>
          <w:cantSplit/>
          <w:trHeight w:val="600" w:hRule="atLeast"/>
          <w:jc w:val="center"/>
        </w:trPr>
        <w:tc>
          <w:tcPr>
            <w:tcW w:w="827" w:type="dxa"/>
            <w:tcBorders>
              <w:top w:val="single" w:color="000000" w:sz="4" w:space="0"/>
              <w:left w:val="single" w:color="000000" w:sz="4" w:space="0"/>
              <w:bottom w:val="single" w:color="000000" w:sz="6" w:space="0"/>
              <w:right w:val="single" w:color="000000" w:sz="6" w:space="0"/>
            </w:tcBorders>
            <w:noWrap w:val="0"/>
            <w:vAlign w:val="center"/>
          </w:tcPr>
          <w:p>
            <w:pPr>
              <w:spacing w:line="400" w:lineRule="exact"/>
              <w:ind w:firstLine="105"/>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年份</w:t>
            </w:r>
          </w:p>
        </w:tc>
        <w:tc>
          <w:tcPr>
            <w:tcW w:w="1654" w:type="dxa"/>
            <w:tcBorders>
              <w:top w:val="single" w:color="000000" w:sz="4"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用户名称</w:t>
            </w:r>
          </w:p>
        </w:tc>
        <w:tc>
          <w:tcPr>
            <w:tcW w:w="1516" w:type="dxa"/>
            <w:tcBorders>
              <w:top w:val="single" w:color="000000" w:sz="4"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项目名称</w:t>
            </w:r>
          </w:p>
        </w:tc>
        <w:tc>
          <w:tcPr>
            <w:tcW w:w="1334" w:type="dxa"/>
            <w:tcBorders>
              <w:top w:val="single" w:color="000000" w:sz="4"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完成时间</w:t>
            </w:r>
          </w:p>
        </w:tc>
        <w:tc>
          <w:tcPr>
            <w:tcW w:w="1447" w:type="dxa"/>
            <w:tcBorders>
              <w:top w:val="single" w:color="000000" w:sz="4" w:space="0"/>
              <w:left w:val="single" w:color="000000" w:sz="6" w:space="0"/>
              <w:bottom w:val="single" w:color="000000" w:sz="6" w:space="0"/>
              <w:right w:val="single" w:color="000000" w:sz="6" w:space="0"/>
            </w:tcBorders>
            <w:noWrap w:val="0"/>
            <w:vAlign w:val="center"/>
          </w:tcPr>
          <w:p>
            <w:pPr>
              <w:spacing w:line="400" w:lineRule="exact"/>
              <w:ind w:firstLine="105"/>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合同金额</w:t>
            </w:r>
          </w:p>
        </w:tc>
        <w:tc>
          <w:tcPr>
            <w:tcW w:w="1578" w:type="dxa"/>
            <w:gridSpan w:val="2"/>
            <w:tcBorders>
              <w:top w:val="single" w:color="000000" w:sz="4"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完成项目质量</w:t>
            </w:r>
          </w:p>
        </w:tc>
        <w:tc>
          <w:tcPr>
            <w:tcW w:w="1499" w:type="dxa"/>
            <w:tcBorders>
              <w:top w:val="single" w:color="000000" w:sz="4"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备注</w:t>
            </w: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78" w:type="dxa"/>
            <w:gridSpan w:val="2"/>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99"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78" w:type="dxa"/>
            <w:gridSpan w:val="2"/>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99"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78" w:type="dxa"/>
            <w:gridSpan w:val="2"/>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99"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78" w:type="dxa"/>
            <w:gridSpan w:val="2"/>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99"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rPr>
                <w:rFonts w:hint="eastAsia" w:asciiTheme="minorEastAsia" w:hAnsiTheme="minorEastAsia" w:eastAsiaTheme="minorEastAsia" w:cstheme="minorEastAsia"/>
                <w:kern w:val="1"/>
              </w:rPr>
            </w:pPr>
            <w:r>
              <w:rPr>
                <w:rFonts w:hint="eastAsia" w:asciiTheme="minorEastAsia" w:hAnsiTheme="minorEastAsia" w:eastAsiaTheme="minorEastAsia" w:cstheme="minorEastAsia"/>
                <w:kern w:val="1"/>
              </w:rPr>
              <w:t xml:space="preserve">   </w:t>
            </w:r>
          </w:p>
        </w:tc>
        <w:tc>
          <w:tcPr>
            <w:tcW w:w="1654"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78" w:type="dxa"/>
            <w:gridSpan w:val="2"/>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99"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rPr>
                <w:rFonts w:hint="eastAsia" w:asciiTheme="minorEastAsia" w:hAnsiTheme="minorEastAsia" w:eastAsiaTheme="minorEastAsia" w:cstheme="minorEastAsia"/>
                <w:kern w:val="1"/>
              </w:rPr>
            </w:pPr>
            <w:r>
              <w:rPr>
                <w:rFonts w:hint="eastAsia" w:asciiTheme="minorEastAsia" w:hAnsiTheme="minorEastAsia" w:eastAsiaTheme="minorEastAsia" w:cstheme="minorEastAsia"/>
                <w:kern w:val="1"/>
              </w:rPr>
              <w:t xml:space="preserve">   </w:t>
            </w: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510" w:hRule="atLeast"/>
          <w:jc w:val="center"/>
        </w:trPr>
        <w:tc>
          <w:tcPr>
            <w:tcW w:w="827" w:type="dxa"/>
            <w:tcBorders>
              <w:top w:val="single" w:color="000000" w:sz="6" w:space="0"/>
              <w:left w:val="single" w:color="000000" w:sz="4"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6"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6"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15" w:hRule="atLeast"/>
          <w:jc w:val="center"/>
        </w:trPr>
        <w:tc>
          <w:tcPr>
            <w:tcW w:w="827" w:type="dxa"/>
            <w:tcBorders>
              <w:top w:val="single" w:color="000000" w:sz="4" w:space="0"/>
              <w:left w:val="single" w:color="000000" w:sz="4"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4" w:space="0"/>
              <w:left w:val="single" w:color="000000" w:sz="6"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15" w:hRule="atLeast"/>
          <w:jc w:val="center"/>
        </w:trPr>
        <w:tc>
          <w:tcPr>
            <w:tcW w:w="827" w:type="dxa"/>
            <w:tcBorders>
              <w:top w:val="single" w:color="000000" w:sz="4" w:space="0"/>
              <w:left w:val="single" w:color="000000" w:sz="4"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4" w:space="0"/>
              <w:left w:val="single" w:color="000000" w:sz="6"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450" w:hRule="atLeast"/>
          <w:jc w:val="center"/>
        </w:trPr>
        <w:tc>
          <w:tcPr>
            <w:tcW w:w="827" w:type="dxa"/>
            <w:tcBorders>
              <w:top w:val="single" w:color="000000" w:sz="4" w:space="0"/>
              <w:left w:val="single" w:color="000000" w:sz="4"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4" w:space="0"/>
              <w:left w:val="single" w:color="000000" w:sz="6"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435" w:hRule="atLeast"/>
          <w:jc w:val="center"/>
        </w:trPr>
        <w:tc>
          <w:tcPr>
            <w:tcW w:w="827" w:type="dxa"/>
            <w:tcBorders>
              <w:top w:val="single" w:color="000000" w:sz="4" w:space="0"/>
              <w:left w:val="single" w:color="000000" w:sz="4"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4" w:space="0"/>
              <w:left w:val="single" w:color="000000" w:sz="6"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bl>
    <w:p>
      <w:pPr>
        <w:tabs>
          <w:tab w:val="left" w:pos="555"/>
          <w:tab w:val="left" w:pos="2214"/>
          <w:tab w:val="left" w:pos="3774"/>
          <w:tab w:val="left" w:pos="4854"/>
          <w:tab w:val="left" w:pos="5934"/>
          <w:tab w:val="left" w:pos="7014"/>
          <w:tab w:val="left" w:pos="8214"/>
          <w:tab w:val="left" w:pos="9746"/>
        </w:tabs>
        <w:spacing w:line="400" w:lineRule="exact"/>
        <w:ind w:left="359" w:firstLine="360"/>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注：以上业绩需提供有关书面证明材料。“合同金额”需提供合同复印件。无可不提供。</w:t>
      </w:r>
    </w:p>
    <w:p>
      <w:pPr>
        <w:spacing w:line="400" w:lineRule="exact"/>
        <w:ind w:left="360"/>
        <w:jc w:val="center"/>
        <w:rPr>
          <w:rFonts w:hint="eastAsia" w:asciiTheme="minorEastAsia" w:hAnsiTheme="minorEastAsia" w:eastAsiaTheme="minorEastAsia" w:cstheme="minorEastAsia"/>
          <w:kern w:val="1"/>
          <w:sz w:val="24"/>
          <w:szCs w:val="24"/>
        </w:rPr>
      </w:pPr>
    </w:p>
    <w:p>
      <w:pPr>
        <w:spacing w:line="480" w:lineRule="auto"/>
        <w:ind w:firstLine="48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供应商名称：</w:t>
      </w:r>
      <w:r>
        <w:rPr>
          <w:rFonts w:hint="eastAsia" w:asciiTheme="minorEastAsia" w:hAnsiTheme="minorEastAsia" w:eastAsiaTheme="minorEastAsia" w:cstheme="minorEastAsia"/>
          <w:kern w:val="1"/>
          <w:sz w:val="24"/>
          <w:szCs w:val="24"/>
          <w:u w:val="single"/>
        </w:rPr>
        <w:t xml:space="preserve">         </w:t>
      </w:r>
      <w:r>
        <w:rPr>
          <w:rFonts w:hint="eastAsia" w:asciiTheme="minorEastAsia" w:hAnsiTheme="minorEastAsia" w:eastAsiaTheme="minorEastAsia" w:cstheme="minorEastAsia"/>
          <w:kern w:val="1"/>
          <w:sz w:val="24"/>
          <w:szCs w:val="24"/>
        </w:rPr>
        <w:t>（盖章）</w:t>
      </w:r>
    </w:p>
    <w:p>
      <w:pPr>
        <w:spacing w:line="480" w:lineRule="auto"/>
        <w:ind w:firstLine="48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法定代表人或授权代表（签字或盖章）：</w:t>
      </w:r>
    </w:p>
    <w:p>
      <w:pPr>
        <w:spacing w:line="480" w:lineRule="auto"/>
        <w:ind w:firstLine="480"/>
        <w:jc w:val="left"/>
        <w:rPr>
          <w:rFonts w:hint="eastAsia" w:asciiTheme="minorEastAsia" w:hAnsiTheme="minorEastAsia" w:eastAsiaTheme="minorEastAsia" w:cstheme="minorEastAsia"/>
          <w:bCs/>
          <w:kern w:val="1"/>
          <w:sz w:val="24"/>
          <w:szCs w:val="24"/>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r>
        <w:rPr>
          <w:rFonts w:hint="eastAsia" w:asciiTheme="minorEastAsia" w:hAnsiTheme="minorEastAsia" w:eastAsiaTheme="minorEastAsia" w:cstheme="minorEastAsia"/>
          <w:bCs/>
          <w:kern w:val="1"/>
          <w:sz w:val="24"/>
          <w:szCs w:val="24"/>
        </w:rPr>
        <w:t>日期:</w:t>
      </w:r>
    </w:p>
    <w:p>
      <w:pPr>
        <w:spacing w:line="400" w:lineRule="exact"/>
        <w:jc w:val="center"/>
        <w:rPr>
          <w:rFonts w:hint="eastAsia" w:asciiTheme="minorEastAsia" w:hAnsiTheme="minorEastAsia" w:eastAsiaTheme="minorEastAsia" w:cstheme="minorEastAsia"/>
          <w:b/>
          <w:kern w:val="1"/>
          <w:sz w:val="32"/>
          <w:szCs w:val="32"/>
        </w:rPr>
      </w:pPr>
      <w:r>
        <w:rPr>
          <w:rFonts w:hint="eastAsia" w:asciiTheme="minorEastAsia" w:hAnsiTheme="minorEastAsia" w:eastAsiaTheme="minorEastAsia" w:cstheme="minorEastAsia"/>
          <w:b/>
          <w:kern w:val="1"/>
          <w:sz w:val="32"/>
          <w:szCs w:val="32"/>
        </w:rPr>
        <w:t>承  诺  函</w:t>
      </w:r>
    </w:p>
    <w:p>
      <w:pPr>
        <w:spacing w:line="360" w:lineRule="auto"/>
        <w:jc w:val="center"/>
        <w:rPr>
          <w:rFonts w:hint="eastAsia" w:asciiTheme="minorEastAsia" w:hAnsiTheme="minorEastAsia" w:eastAsiaTheme="minorEastAsia" w:cstheme="minorEastAsia"/>
          <w:b/>
          <w:kern w:val="1"/>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kern w:val="1"/>
          <w:sz w:val="24"/>
          <w:szCs w:val="24"/>
        </w:rPr>
      </w:pPr>
      <w:bookmarkStart w:id="4" w:name="_Toc24425"/>
      <w:r>
        <w:rPr>
          <w:rFonts w:hint="eastAsia" w:asciiTheme="minorEastAsia" w:hAnsiTheme="minorEastAsia" w:eastAsiaTheme="minorEastAsia" w:cstheme="minorEastAsia"/>
          <w:kern w:val="1"/>
          <w:sz w:val="24"/>
          <w:szCs w:val="24"/>
        </w:rPr>
        <w:t>四川省</w:t>
      </w:r>
      <w:r>
        <w:rPr>
          <w:rFonts w:hint="eastAsia" w:asciiTheme="minorEastAsia" w:hAnsiTheme="minorEastAsia" w:eastAsiaTheme="minorEastAsia" w:cstheme="minorEastAsia"/>
          <w:kern w:val="1"/>
          <w:sz w:val="24"/>
          <w:szCs w:val="24"/>
          <w:lang w:eastAsia="zh-CN"/>
        </w:rPr>
        <w:t>南宝山服饰有限公司</w:t>
      </w:r>
      <w:r>
        <w:rPr>
          <w:rFonts w:hint="eastAsia" w:asciiTheme="minorEastAsia" w:hAnsiTheme="minorEastAsia" w:eastAsiaTheme="minorEastAsia" w:cstheme="minorEastAsia"/>
          <w:kern w:val="1"/>
          <w:sz w:val="24"/>
          <w:szCs w:val="24"/>
        </w:rPr>
        <w:t>：</w:t>
      </w:r>
      <w:bookmarkEnd w:id="4"/>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5" w:name="_Toc28675"/>
      <w:r>
        <w:rPr>
          <w:rFonts w:hint="eastAsia" w:asciiTheme="minorEastAsia" w:hAnsiTheme="minorEastAsia" w:eastAsiaTheme="minorEastAsia" w:cstheme="minorEastAsia"/>
          <w:kern w:val="1"/>
          <w:sz w:val="24"/>
          <w:szCs w:val="24"/>
        </w:rPr>
        <w:t>我公司作为本次采购项目的供应商，根据磋商文件要求，现郑重承诺如下：</w:t>
      </w:r>
      <w:bookmarkEnd w:id="5"/>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6" w:name="_Toc6496"/>
      <w:r>
        <w:rPr>
          <w:rFonts w:hint="eastAsia" w:asciiTheme="minorEastAsia" w:hAnsiTheme="minorEastAsia" w:eastAsiaTheme="minorEastAsia" w:cstheme="minorEastAsia"/>
          <w:kern w:val="1"/>
          <w:sz w:val="24"/>
          <w:szCs w:val="24"/>
        </w:rPr>
        <w:t>一、具备磋商文件中规定的条件：</w:t>
      </w:r>
      <w:bookmarkEnd w:id="6"/>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7" w:name="_Toc8572"/>
      <w:r>
        <w:rPr>
          <w:rFonts w:hint="eastAsia" w:asciiTheme="minorEastAsia" w:hAnsiTheme="minorEastAsia" w:eastAsiaTheme="minorEastAsia" w:cstheme="minorEastAsia"/>
          <w:kern w:val="1"/>
          <w:sz w:val="24"/>
          <w:szCs w:val="24"/>
        </w:rPr>
        <w:t>（一）</w:t>
      </w:r>
      <w:r>
        <w:rPr>
          <w:rFonts w:hint="eastAsia" w:asciiTheme="minorEastAsia" w:hAnsiTheme="minorEastAsia" w:eastAsiaTheme="minorEastAsia" w:cstheme="minorEastAsia"/>
          <w:sz w:val="24"/>
          <w:szCs w:val="24"/>
        </w:rPr>
        <w:t>具有独立的法人主体资格；</w:t>
      </w:r>
      <w:r>
        <w:rPr>
          <w:rFonts w:hint="eastAsia" w:asciiTheme="minorEastAsia" w:hAnsiTheme="minorEastAsia" w:eastAsiaTheme="minorEastAsia" w:cstheme="minorEastAsia"/>
          <w:kern w:val="1"/>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 xml:space="preserve">（二）具有良好的商业信誉和健全的财务会计制度； </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 xml:space="preserve">（三）具有履行合同所必需的设备和专业技术能力； </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 xml:space="preserve">（四）有依法缴纳税收和社会保障资金的良好记录； </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（五）参加本次采购活动前三年内，在经营活动中没有重大违法记录；</w:t>
      </w:r>
      <w:bookmarkEnd w:id="7"/>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8" w:name="_Toc31616"/>
      <w:r>
        <w:rPr>
          <w:rFonts w:hint="eastAsia" w:asciiTheme="minorEastAsia" w:hAnsiTheme="minorEastAsia" w:eastAsiaTheme="minorEastAsia" w:cstheme="minorEastAsia"/>
          <w:kern w:val="1"/>
          <w:sz w:val="24"/>
          <w:szCs w:val="24"/>
        </w:rPr>
        <w:t>（六）法律、行政法规规定的其他条件。</w:t>
      </w:r>
      <w:bookmarkEnd w:id="8"/>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9" w:name="_Toc22943"/>
      <w:r>
        <w:rPr>
          <w:rFonts w:hint="eastAsia" w:asciiTheme="minorEastAsia" w:hAnsiTheme="minorEastAsia" w:eastAsiaTheme="minorEastAsia" w:cstheme="minorEastAsia"/>
          <w:kern w:val="1"/>
          <w:sz w:val="24"/>
          <w:szCs w:val="24"/>
        </w:rPr>
        <w:t>二、参加本次采购活动，不存在</w:t>
      </w:r>
      <w:bookmarkEnd w:id="9"/>
      <w:bookmarkStart w:id="10" w:name="_Toc29020"/>
      <w:r>
        <w:rPr>
          <w:rFonts w:hint="eastAsia" w:asciiTheme="minorEastAsia" w:hAnsiTheme="minorEastAsia" w:eastAsiaTheme="minorEastAsia" w:cstheme="minorEastAsia"/>
          <w:sz w:val="24"/>
          <w:szCs w:val="24"/>
        </w:rPr>
        <w:t>总公司、分公司以不同的供应商身份同时参加磋商。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kern w:val="1"/>
          <w:sz w:val="24"/>
          <w:szCs w:val="24"/>
        </w:rPr>
        <w:t>不存在</w:t>
      </w:r>
      <w:r>
        <w:rPr>
          <w:rFonts w:hint="eastAsia" w:asciiTheme="minorEastAsia" w:hAnsiTheme="minorEastAsia" w:eastAsiaTheme="minorEastAsia" w:cstheme="minorEastAsia"/>
          <w:sz w:val="24"/>
          <w:szCs w:val="24"/>
        </w:rPr>
        <w:t xml:space="preserve">参与本采购项目前期咨询论证的供应商参加本项目磋商采购。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kern w:val="1"/>
          <w:sz w:val="24"/>
          <w:szCs w:val="24"/>
        </w:rPr>
        <w:t>不存在</w:t>
      </w:r>
      <w:r>
        <w:rPr>
          <w:rFonts w:hint="eastAsia" w:asciiTheme="minorEastAsia" w:hAnsiTheme="minorEastAsia" w:eastAsiaTheme="minorEastAsia" w:cstheme="minorEastAsia"/>
          <w:sz w:val="24"/>
          <w:szCs w:val="24"/>
        </w:rPr>
        <w:t>单位负责人为同一人或者存在直接控股、管理关系的不同供应商，参加同一合同项下的磋商采购活动。</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kern w:val="1"/>
          <w:sz w:val="24"/>
          <w:szCs w:val="24"/>
        </w:rPr>
        <w:t>不存在</w:t>
      </w:r>
      <w:r>
        <w:rPr>
          <w:rFonts w:hint="eastAsia" w:asciiTheme="minorEastAsia" w:hAnsiTheme="minorEastAsia" w:eastAsiaTheme="minorEastAsia" w:cstheme="minorEastAsia"/>
          <w:sz w:val="24"/>
          <w:szCs w:val="24"/>
        </w:rPr>
        <w:t>两家以上的供应商在同一合同项下的采购项目中，同时委托同一个自然人、同一家庭的人员、同一单位的人员作为其代理人。</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kern w:val="1"/>
          <w:sz w:val="24"/>
          <w:szCs w:val="24"/>
        </w:rPr>
        <w:t>不存在</w:t>
      </w:r>
      <w:r>
        <w:rPr>
          <w:rFonts w:hint="eastAsia" w:asciiTheme="minorEastAsia" w:hAnsiTheme="minorEastAsia" w:eastAsiaTheme="minorEastAsia" w:cstheme="minorEastAsia"/>
          <w:sz w:val="24"/>
          <w:szCs w:val="24"/>
        </w:rPr>
        <w:t>为采购项目提供整体设计、规范编制或者项目管理、监理、检测等服务的供应商，再参加该采购项目的其他采购活动。</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七、响应文件中提供的能够给予我公司带来优惠、好处的任何材料资料和技术、服务、商务等响应承诺情况都是真实的、有效的、合法的。</w:t>
      </w:r>
      <w:bookmarkEnd w:id="10"/>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八、若我公司在此次采购中成交，我公司将向采购人提供原件备查。</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11" w:name="_Toc17959"/>
      <w:r>
        <w:rPr>
          <w:rFonts w:hint="eastAsia" w:asciiTheme="minorEastAsia" w:hAnsiTheme="minorEastAsia" w:eastAsiaTheme="minorEastAsia" w:cstheme="minorEastAsia"/>
          <w:kern w:val="1"/>
          <w:sz w:val="24"/>
          <w:szCs w:val="24"/>
        </w:rPr>
        <w:t>本公司对上述承诺的内容事项真实性负责。如经查实上述承诺的内容事项存在虚假，我公司愿意接受以提供虚假材料谋取成交追究法律责任。</w:t>
      </w:r>
      <w:bookmarkEnd w:id="11"/>
    </w:p>
    <w:p>
      <w:pPr>
        <w:keepNext w:val="0"/>
        <w:keepLines w:val="0"/>
        <w:pageBreakBefore w:val="0"/>
        <w:widowControl/>
        <w:kinsoku/>
        <w:wordWrap/>
        <w:overflowPunct/>
        <w:topLinePunct w:val="0"/>
        <w:autoSpaceDE/>
        <w:autoSpaceDN/>
        <w:bidi w:val="0"/>
        <w:adjustRightInd/>
        <w:snapToGrid/>
        <w:spacing w:line="400" w:lineRule="exact"/>
        <w:ind w:firstLine="470"/>
        <w:jc w:val="left"/>
        <w:textAlignment w:val="auto"/>
        <w:rPr>
          <w:rFonts w:hint="eastAsia" w:asciiTheme="minorEastAsia" w:hAnsiTheme="minorEastAsia" w:eastAsiaTheme="minorEastAsia" w:cstheme="minorEastAsia"/>
          <w:kern w:val="1"/>
          <w:sz w:val="24"/>
          <w:szCs w:val="24"/>
        </w:rPr>
      </w:pPr>
      <w:bookmarkStart w:id="12" w:name="_Toc2580"/>
      <w:r>
        <w:rPr>
          <w:rFonts w:hint="eastAsia" w:asciiTheme="minorEastAsia" w:hAnsiTheme="minorEastAsia" w:eastAsiaTheme="minorEastAsia" w:cstheme="minorEastAsia"/>
          <w:kern w:val="1"/>
          <w:sz w:val="24"/>
          <w:szCs w:val="24"/>
        </w:rPr>
        <w:t>法定代表人或授权代表签字：</w:t>
      </w:r>
      <w:bookmarkEnd w:id="12"/>
    </w:p>
    <w:p>
      <w:pPr>
        <w:keepNext w:val="0"/>
        <w:keepLines w:val="0"/>
        <w:pageBreakBefore w:val="0"/>
        <w:widowControl/>
        <w:kinsoku/>
        <w:wordWrap/>
        <w:overflowPunct/>
        <w:topLinePunct w:val="0"/>
        <w:autoSpaceDE/>
        <w:autoSpaceDN/>
        <w:bidi w:val="0"/>
        <w:adjustRightInd/>
        <w:snapToGrid/>
        <w:spacing w:line="400" w:lineRule="exact"/>
        <w:ind w:firstLine="470"/>
        <w:jc w:val="left"/>
        <w:textAlignment w:val="auto"/>
        <w:rPr>
          <w:rFonts w:hint="eastAsia" w:asciiTheme="minorEastAsia" w:hAnsiTheme="minorEastAsia" w:eastAsiaTheme="minorEastAsia" w:cstheme="minorEastAsia"/>
          <w:kern w:val="1"/>
          <w:sz w:val="24"/>
          <w:szCs w:val="24"/>
        </w:rPr>
      </w:pPr>
      <w:bookmarkStart w:id="13" w:name="_Toc28880"/>
      <w:r>
        <w:rPr>
          <w:rFonts w:hint="eastAsia" w:asciiTheme="minorEastAsia" w:hAnsiTheme="minorEastAsia" w:eastAsiaTheme="minorEastAsia" w:cstheme="minorEastAsia"/>
          <w:kern w:val="1"/>
          <w:sz w:val="24"/>
          <w:szCs w:val="24"/>
        </w:rPr>
        <w:t>供应商名称（盖章）：</w:t>
      </w:r>
      <w:bookmarkEnd w:id="13"/>
    </w:p>
    <w:p>
      <w:pPr>
        <w:keepNext w:val="0"/>
        <w:keepLines w:val="0"/>
        <w:pageBreakBefore w:val="0"/>
        <w:widowControl/>
        <w:kinsoku/>
        <w:wordWrap/>
        <w:overflowPunct/>
        <w:topLinePunct w:val="0"/>
        <w:autoSpaceDE/>
        <w:autoSpaceDN/>
        <w:bidi w:val="0"/>
        <w:adjustRightInd/>
        <w:snapToGrid/>
        <w:spacing w:line="400" w:lineRule="exact"/>
        <w:ind w:firstLine="470"/>
        <w:jc w:val="left"/>
        <w:textAlignment w:val="auto"/>
        <w:rPr>
          <w:rFonts w:hint="eastAsia" w:asciiTheme="minorEastAsia" w:hAnsiTheme="minorEastAsia" w:eastAsiaTheme="minorEastAsia" w:cstheme="minorEastAsia"/>
          <w:kern w:val="1"/>
          <w:sz w:val="24"/>
          <w:szCs w:val="24"/>
        </w:rPr>
      </w:pPr>
      <w:bookmarkStart w:id="14" w:name="_Toc30921"/>
      <w:r>
        <w:rPr>
          <w:rFonts w:hint="eastAsia" w:asciiTheme="minorEastAsia" w:hAnsiTheme="minorEastAsia" w:eastAsiaTheme="minorEastAsia" w:cstheme="minorEastAsia"/>
          <w:kern w:val="1"/>
          <w:sz w:val="24"/>
          <w:szCs w:val="24"/>
        </w:rPr>
        <w:t>日    期：</w:t>
      </w:r>
      <w:bookmarkEnd w:id="14"/>
    </w:p>
    <w:p>
      <w:pPr>
        <w:rPr>
          <w:rFonts w:hint="eastAsia" w:asciiTheme="minorEastAsia" w:hAnsiTheme="minorEastAsia" w:eastAsiaTheme="minorEastAsia" w:cstheme="minorEastAsia"/>
          <w:b/>
          <w:kern w:val="1"/>
          <w:sz w:val="21"/>
          <w:szCs w:val="21"/>
        </w:rPr>
      </w:pPr>
    </w:p>
    <w:p>
      <w:pPr>
        <w:pStyle w:val="3"/>
        <w:ind w:firstLine="0" w:firstLineChars="0"/>
        <w:jc w:val="left"/>
        <w:rPr>
          <w:rFonts w:hint="eastAsia" w:asciiTheme="minorEastAsia" w:hAnsiTheme="minorEastAsia" w:eastAsiaTheme="minorEastAsia" w:cstheme="minorEastAsia"/>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pStyle w:val="3"/>
        <w:ind w:firstLine="0" w:firstLineChars="0"/>
        <w:jc w:val="left"/>
        <w:rPr>
          <w:rFonts w:hint="eastAsia" w:asciiTheme="minorEastAsia" w:hAnsiTheme="minorEastAsia" w:eastAsiaTheme="minorEastAsia" w:cstheme="minorEastAsia"/>
        </w:rPr>
      </w:pPr>
    </w:p>
    <w:p>
      <w:pPr>
        <w:pStyle w:val="3"/>
        <w:ind w:firstLine="0" w:firstLineChars="0"/>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lang w:eastAsia="zh-CN"/>
        </w:rPr>
        <w:t>西郊横路场区平整和维修</w:t>
      </w:r>
      <w:r>
        <w:rPr>
          <w:rFonts w:hint="eastAsia" w:asciiTheme="minorEastAsia" w:hAnsiTheme="minorEastAsia" w:eastAsiaTheme="minorEastAsia" w:cstheme="minorEastAsia"/>
          <w:b/>
          <w:sz w:val="44"/>
          <w:szCs w:val="44"/>
        </w:rPr>
        <w:t>实施方案</w:t>
      </w:r>
    </w:p>
    <w:p>
      <w:pPr>
        <w:pStyle w:val="3"/>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（按第三章评分标准编制）</w:t>
      </w: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jc w:val="center"/>
        <w:rPr>
          <w:rFonts w:hint="eastAsia"/>
          <w:b/>
          <w:bCs/>
        </w:rPr>
      </w:pPr>
      <w:r>
        <w:rPr>
          <w:rFonts w:hint="eastAsia"/>
          <w:b/>
          <w:bCs/>
        </w:rPr>
        <w:t>四川省南宝山服饰有限公司</w:t>
      </w:r>
      <w:r>
        <w:rPr>
          <w:rFonts w:hint="eastAsia"/>
          <w:b/>
          <w:bCs/>
          <w:lang w:eastAsia="zh-CN"/>
        </w:rPr>
        <w:t>西郊横路场区平整和维修采购</w:t>
      </w:r>
      <w:r>
        <w:rPr>
          <w:rFonts w:hint="eastAsia"/>
          <w:b/>
          <w:bCs/>
        </w:rPr>
        <w:t>最终报价表</w:t>
      </w:r>
    </w:p>
    <w:tbl>
      <w:tblPr>
        <w:tblStyle w:val="21"/>
        <w:tblpPr w:leftFromText="180" w:rightFromText="180" w:vertAnchor="text" w:horzAnchor="page" w:tblpX="1334" w:tblpY="1145"/>
        <w:tblOverlap w:val="never"/>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959" w:type="dxa"/>
            <w:noWrap/>
            <w:vAlign w:val="center"/>
          </w:tcPr>
          <w:p>
            <w:pPr>
              <w:snapToGrid w:val="0"/>
              <w:spacing w:line="276" w:lineRule="auto"/>
              <w:jc w:val="center"/>
              <w:rPr>
                <w:rFonts w:ascii="华文宋体" w:hAnsi="华文宋体" w:eastAsia="华文宋体"/>
                <w:color w:val="FF0000"/>
              </w:rPr>
            </w:pPr>
            <w:r>
              <w:rPr>
                <w:rFonts w:hint="eastAsia" w:ascii="华文宋体" w:hAnsi="华文宋体" w:eastAsia="华文宋体"/>
                <w:color w:val="FF0000"/>
              </w:rPr>
              <w:t>采购项目名称</w:t>
            </w:r>
          </w:p>
        </w:tc>
        <w:tc>
          <w:tcPr>
            <w:tcW w:w="6685" w:type="dxa"/>
            <w:noWrap/>
            <w:vAlign w:val="bottom"/>
          </w:tcPr>
          <w:p>
            <w:pPr>
              <w:snapToGrid w:val="0"/>
              <w:spacing w:line="276" w:lineRule="auto"/>
              <w:ind w:right="140"/>
              <w:rPr>
                <w:rFonts w:ascii="华文宋体" w:hAnsi="华文宋体" w:eastAsia="华文宋体"/>
                <w:color w:val="FF0000"/>
              </w:rPr>
            </w:pPr>
            <w:r>
              <w:rPr>
                <w:rFonts w:hint="eastAsia" w:ascii="仿宋_GB2312" w:hAnsi="宋体" w:eastAsia="仿宋_GB2312"/>
                <w:lang w:eastAsia="zh-CN"/>
              </w:rPr>
              <w:t>四川省南宝山服饰有限公司西郊横路场区平整和维修采购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9" w:type="dxa"/>
            <w:vMerge w:val="restart"/>
            <w:noWrap/>
            <w:vAlign w:val="center"/>
          </w:tcPr>
          <w:p>
            <w:pPr>
              <w:snapToGrid w:val="0"/>
              <w:spacing w:line="276" w:lineRule="auto"/>
              <w:jc w:val="center"/>
              <w:rPr>
                <w:rFonts w:ascii="华文宋体" w:hAnsi="华文宋体" w:eastAsia="华文宋体"/>
                <w:color w:val="FF0000"/>
              </w:rPr>
            </w:pPr>
            <w:r>
              <w:rPr>
                <w:rFonts w:hint="eastAsia" w:ascii="华文宋体" w:hAnsi="华文宋体" w:eastAsia="华文宋体"/>
                <w:color w:val="FF0000"/>
                <w:lang w:eastAsia="zh-CN"/>
              </w:rPr>
              <w:t>最终</w:t>
            </w:r>
            <w:r>
              <w:rPr>
                <w:rFonts w:hint="eastAsia" w:ascii="华文宋体" w:hAnsi="华文宋体" w:eastAsia="华文宋体"/>
                <w:color w:val="FF0000"/>
              </w:rPr>
              <w:t>报价为</w:t>
            </w:r>
          </w:p>
        </w:tc>
        <w:tc>
          <w:tcPr>
            <w:tcW w:w="6685" w:type="dxa"/>
            <w:noWrap/>
            <w:vAlign w:val="center"/>
          </w:tcPr>
          <w:p>
            <w:pPr>
              <w:snapToGrid w:val="0"/>
              <w:spacing w:line="276" w:lineRule="auto"/>
              <w:jc w:val="right"/>
              <w:rPr>
                <w:rFonts w:ascii="华文宋体" w:hAnsi="华文宋体" w:eastAsia="华文宋体"/>
                <w:color w:val="FF0000"/>
              </w:rPr>
            </w:pPr>
            <w:r>
              <w:rPr>
                <w:rFonts w:hint="eastAsia" w:ascii="华文宋体" w:hAnsi="华文宋体" w:eastAsia="华文宋体"/>
                <w:color w:val="FF0000"/>
              </w:rPr>
              <w:t>元（大写）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9" w:type="dxa"/>
            <w:vMerge w:val="continue"/>
            <w:noWrap/>
            <w:vAlign w:val="center"/>
          </w:tcPr>
          <w:p>
            <w:pPr>
              <w:snapToGrid w:val="0"/>
              <w:spacing w:line="276" w:lineRule="auto"/>
              <w:jc w:val="center"/>
              <w:rPr>
                <w:rFonts w:ascii="华文宋体" w:hAnsi="华文宋体" w:eastAsia="华文宋体"/>
                <w:color w:val="FF0000"/>
              </w:rPr>
            </w:pPr>
          </w:p>
        </w:tc>
        <w:tc>
          <w:tcPr>
            <w:tcW w:w="6685" w:type="dxa"/>
            <w:noWrap/>
            <w:vAlign w:val="center"/>
          </w:tcPr>
          <w:p>
            <w:pPr>
              <w:wordWrap w:val="0"/>
              <w:snapToGrid w:val="0"/>
              <w:spacing w:line="276" w:lineRule="auto"/>
              <w:jc w:val="right"/>
              <w:rPr>
                <w:rFonts w:ascii="华文宋体" w:hAnsi="华文宋体" w:eastAsia="华文宋体"/>
                <w:color w:val="FF0000"/>
              </w:rPr>
            </w:pPr>
            <w:r>
              <w:rPr>
                <w:rFonts w:hint="eastAsia" w:ascii="华文宋体" w:hAnsi="华文宋体" w:eastAsia="华文宋体"/>
                <w:color w:val="FF0000"/>
              </w:rPr>
              <w:t>元（小写）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959" w:type="dxa"/>
            <w:noWrap/>
            <w:vAlign w:val="center"/>
          </w:tcPr>
          <w:p>
            <w:pPr>
              <w:snapToGrid w:val="0"/>
              <w:spacing w:line="276" w:lineRule="auto"/>
              <w:jc w:val="center"/>
              <w:rPr>
                <w:rFonts w:ascii="华文宋体" w:hAnsi="华文宋体" w:eastAsia="华文宋体"/>
                <w:color w:val="FF0000"/>
              </w:rPr>
            </w:pPr>
            <w:r>
              <w:rPr>
                <w:rFonts w:hint="eastAsia" w:ascii="华文宋体" w:hAnsi="华文宋体" w:eastAsia="华文宋体"/>
                <w:color w:val="FF0000"/>
              </w:rPr>
              <w:t>浮动比例</w:t>
            </w:r>
          </w:p>
        </w:tc>
        <w:tc>
          <w:tcPr>
            <w:tcW w:w="6685" w:type="dxa"/>
            <w:noWrap/>
            <w:vAlign w:val="center"/>
          </w:tcPr>
          <w:p>
            <w:pPr>
              <w:snapToGrid w:val="0"/>
              <w:spacing w:line="276" w:lineRule="auto"/>
              <w:jc w:val="right"/>
              <w:rPr>
                <w:rFonts w:ascii="华文宋体" w:hAnsi="华文宋体" w:eastAsia="华文宋体"/>
                <w:color w:val="FF0000"/>
              </w:rPr>
            </w:pPr>
            <w:r>
              <w:rPr>
                <w:rFonts w:hint="eastAsia" w:ascii="华文宋体" w:hAnsi="华文宋体" w:eastAsia="华文宋体"/>
                <w:color w:val="FF0000"/>
              </w:rPr>
              <w:t xml:space="preserve">       %（浮动比例可</w:t>
            </w:r>
            <w:r>
              <w:rPr>
                <w:rFonts w:hint="eastAsia" w:ascii="华文宋体" w:hAnsi="华文宋体" w:eastAsia="华文宋体" w:cs="华文宋体"/>
                <w:color w:val="FF0000"/>
              </w:rPr>
              <w:t>四舍五入精确到小数点后两位</w:t>
            </w:r>
            <w:r>
              <w:rPr>
                <w:rFonts w:hint="eastAsia" w:ascii="华文宋体" w:hAnsi="华文宋体" w:eastAsia="华文宋体"/>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959" w:type="dxa"/>
            <w:noWrap/>
            <w:vAlign w:val="center"/>
          </w:tcPr>
          <w:p>
            <w:pPr>
              <w:snapToGrid w:val="0"/>
              <w:spacing w:line="276" w:lineRule="auto"/>
              <w:jc w:val="center"/>
              <w:rPr>
                <w:rFonts w:ascii="华文宋体" w:hAnsi="华文宋体" w:eastAsia="华文宋体"/>
                <w:color w:val="FF0000"/>
              </w:rPr>
            </w:pPr>
            <w:r>
              <w:rPr>
                <w:rFonts w:hint="eastAsia" w:ascii="华文宋体" w:hAnsi="华文宋体" w:eastAsia="华文宋体"/>
                <w:color w:val="FF0000"/>
              </w:rPr>
              <w:t>备注</w:t>
            </w:r>
          </w:p>
        </w:tc>
        <w:tc>
          <w:tcPr>
            <w:tcW w:w="6685" w:type="dxa"/>
            <w:noWrap/>
            <w:vAlign w:val="center"/>
          </w:tcPr>
          <w:p>
            <w:pPr>
              <w:snapToGrid w:val="0"/>
              <w:spacing w:line="276" w:lineRule="auto"/>
              <w:rPr>
                <w:rFonts w:ascii="华文宋体" w:hAnsi="华文宋体" w:eastAsia="华文宋体"/>
                <w:color w:val="FF0000"/>
              </w:rPr>
            </w:pPr>
          </w:p>
        </w:tc>
      </w:tr>
    </w:tbl>
    <w:p>
      <w:pPr>
        <w:pStyle w:val="2"/>
        <w:jc w:val="center"/>
        <w:rPr>
          <w:rFonts w:hint="eastAsia" w:asciiTheme="minorEastAsia" w:hAnsiTheme="minorEastAsia" w:eastAsiaTheme="minorEastAsia" w:cstheme="minorEastAsia"/>
        </w:rPr>
      </w:pPr>
    </w:p>
    <w:p>
      <w:pPr>
        <w:rPr>
          <w:rFonts w:hint="eastAsia" w:asciiTheme="minorEastAsia" w:hAnsiTheme="minorEastAsia" w:eastAsiaTheme="minorEastAsia" w:cstheme="minorEastAsia"/>
          <w:color w:val="000000"/>
        </w:rPr>
      </w:pP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供应商名称：</w:t>
      </w:r>
    </w:p>
    <w:p>
      <w:pPr>
        <w:pStyle w:val="32"/>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sz w:val="24"/>
        </w:rPr>
        <w:t>法定代表人/单位负责人或授权代表（签字或加盖个人印章）</w:t>
      </w:r>
      <w:r>
        <w:rPr>
          <w:rFonts w:hint="eastAsia" w:asciiTheme="minorEastAsia" w:hAnsiTheme="minorEastAsia" w:eastAsiaTheme="minorEastAsia" w:cstheme="minorEastAsia"/>
          <w:color w:val="000000"/>
          <w:kern w:val="0"/>
          <w:sz w:val="24"/>
          <w:szCs w:val="24"/>
        </w:rPr>
        <w:t>：</w:t>
      </w:r>
    </w:p>
    <w:p>
      <w:pPr>
        <w:pStyle w:val="32"/>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日期：</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pPr>
        <w:pStyle w:val="32"/>
        <w:snapToGrid w:val="0"/>
        <w:spacing w:line="276" w:lineRule="auto"/>
        <w:ind w:firstLine="480" w:firstLineChars="200"/>
        <w:rPr>
          <w:rFonts w:ascii="华文宋体" w:hAnsi="华文宋体" w:eastAsia="华文宋体" w:cs="华文宋体"/>
          <w:color w:val="FF0000"/>
          <w:sz w:val="24"/>
          <w:szCs w:val="24"/>
        </w:rPr>
      </w:pPr>
      <w:r>
        <w:rPr>
          <w:rFonts w:hint="eastAsia" w:ascii="华文宋体" w:hAnsi="华文宋体" w:eastAsia="华文宋体" w:cs="华文宋体"/>
          <w:color w:val="FF0000"/>
          <w:sz w:val="24"/>
          <w:szCs w:val="24"/>
        </w:rPr>
        <w:t>1、总报价应是完成</w:t>
      </w:r>
      <w:r>
        <w:rPr>
          <w:rFonts w:ascii="华文宋体" w:hAnsi="华文宋体" w:eastAsia="华文宋体"/>
          <w:color w:val="FF0000"/>
          <w:sz w:val="24"/>
        </w:rPr>
        <w:t>本</w:t>
      </w:r>
      <w:r>
        <w:rPr>
          <w:rFonts w:hint="eastAsia" w:ascii="华文宋体" w:hAnsi="华文宋体" w:eastAsia="华文宋体"/>
          <w:color w:val="FF0000"/>
          <w:sz w:val="24"/>
        </w:rPr>
        <w:t>项目及</w:t>
      </w:r>
      <w:r>
        <w:rPr>
          <w:rFonts w:hint="eastAsia" w:ascii="华文宋体" w:hAnsi="华文宋体" w:eastAsia="华文宋体"/>
          <w:color w:val="FF0000"/>
          <w:sz w:val="24"/>
          <w:lang w:eastAsia="zh-CN"/>
        </w:rPr>
        <w:t>磋商</w:t>
      </w:r>
      <w:r>
        <w:rPr>
          <w:rFonts w:hint="eastAsia" w:ascii="华文宋体" w:hAnsi="华文宋体" w:eastAsia="华文宋体" w:cs="华文宋体"/>
          <w:color w:val="FF0000"/>
          <w:sz w:val="24"/>
          <w:szCs w:val="24"/>
        </w:rPr>
        <w:t>文件中所要求的全部内容的最终价格。</w:t>
      </w:r>
    </w:p>
    <w:p>
      <w:pPr>
        <w:pStyle w:val="32"/>
        <w:snapToGrid w:val="0"/>
        <w:spacing w:line="276" w:lineRule="auto"/>
        <w:ind w:firstLine="480" w:firstLineChars="200"/>
        <w:rPr>
          <w:rFonts w:ascii="华文宋体" w:hAnsi="华文宋体" w:eastAsia="华文宋体" w:cs="华文宋体"/>
          <w:color w:val="FF0000"/>
          <w:sz w:val="24"/>
          <w:szCs w:val="24"/>
        </w:rPr>
      </w:pPr>
      <w:r>
        <w:rPr>
          <w:rFonts w:hint="eastAsia" w:ascii="华文宋体" w:hAnsi="华文宋体" w:eastAsia="华文宋体" w:cs="华文宋体"/>
          <w:color w:val="FF0000"/>
          <w:sz w:val="24"/>
          <w:szCs w:val="24"/>
        </w:rPr>
        <w:t>2、浮动比例应为供应商递交的响应文件中已标价工程量清单中磋商总报价的基础上进行浮动。浮动比例=（1-最后报价/初次报价）×100%，</w:t>
      </w:r>
      <w:r>
        <w:rPr>
          <w:rFonts w:hint="eastAsia" w:ascii="华文宋体" w:hAnsi="华文宋体" w:eastAsia="华文宋体"/>
          <w:color w:val="FF0000"/>
          <w:sz w:val="24"/>
        </w:rPr>
        <w:t>浮动比例可</w:t>
      </w:r>
      <w:r>
        <w:rPr>
          <w:rFonts w:hint="eastAsia" w:ascii="华文宋体" w:hAnsi="华文宋体" w:eastAsia="华文宋体" w:cs="华文宋体"/>
          <w:color w:val="FF0000"/>
          <w:sz w:val="24"/>
        </w:rPr>
        <w:t>四舍五入精确到小数点后两位</w:t>
      </w:r>
      <w:r>
        <w:rPr>
          <w:rFonts w:hint="eastAsia" w:ascii="华文宋体" w:hAnsi="华文宋体" w:eastAsia="华文宋体" w:cs="华文宋体"/>
          <w:color w:val="FF0000"/>
          <w:sz w:val="24"/>
          <w:szCs w:val="24"/>
        </w:rPr>
        <w:t>。</w:t>
      </w:r>
    </w:p>
    <w:p>
      <w:pPr>
        <w:pStyle w:val="32"/>
        <w:snapToGrid w:val="0"/>
        <w:spacing w:line="276" w:lineRule="auto"/>
        <w:ind w:firstLine="480" w:firstLineChars="200"/>
        <w:rPr>
          <w:rFonts w:ascii="华文宋体" w:hAnsi="华文宋体" w:eastAsia="华文宋体" w:cs="华文宋体"/>
          <w:color w:val="FF0000"/>
          <w:sz w:val="24"/>
          <w:szCs w:val="24"/>
        </w:rPr>
      </w:pPr>
      <w:r>
        <w:rPr>
          <w:rFonts w:hint="eastAsia" w:ascii="华文宋体" w:hAnsi="华文宋体" w:eastAsia="华文宋体" w:cs="华文宋体"/>
          <w:color w:val="FF0000"/>
          <w:sz w:val="24"/>
          <w:szCs w:val="24"/>
        </w:rPr>
        <w:t>3、最后报价中分项报价的计算方式：报价文件中各项单价（在合同清单中按照浮动比例等比浮动，本次报价不进行分项报价。</w:t>
      </w:r>
    </w:p>
    <w:p>
      <w:pPr>
        <w:pStyle w:val="32"/>
        <w:snapToGrid w:val="0"/>
        <w:spacing w:line="276" w:lineRule="auto"/>
        <w:ind w:firstLine="480" w:firstLineChars="200"/>
        <w:rPr>
          <w:rFonts w:ascii="华文宋体" w:hAnsi="华文宋体" w:eastAsia="华文宋体" w:cs="华文宋体"/>
          <w:color w:val="FF0000"/>
          <w:sz w:val="24"/>
          <w:szCs w:val="24"/>
        </w:rPr>
      </w:pPr>
      <w:r>
        <w:rPr>
          <w:rFonts w:hint="eastAsia" w:ascii="华文宋体" w:hAnsi="华文宋体" w:eastAsia="华文宋体" w:cs="华文宋体"/>
          <w:color w:val="FF0000"/>
          <w:sz w:val="24"/>
          <w:szCs w:val="24"/>
        </w:rPr>
        <w:t>4、</w:t>
      </w:r>
      <w:r>
        <w:rPr>
          <w:rFonts w:hint="eastAsia" w:ascii="华文宋体" w:hAnsi="华文宋体" w:eastAsia="华文宋体" w:cs="华文宋体"/>
          <w:color w:val="FF0000"/>
          <w:sz w:val="24"/>
          <w:szCs w:val="24"/>
          <w:lang w:eastAsia="zh-CN"/>
        </w:rPr>
        <w:t>磋商</w:t>
      </w:r>
      <w:r>
        <w:rPr>
          <w:rFonts w:hint="eastAsia" w:ascii="华文宋体" w:hAnsi="华文宋体" w:eastAsia="华文宋体" w:cs="华文宋体"/>
          <w:color w:val="FF0000"/>
          <w:sz w:val="24"/>
          <w:szCs w:val="24"/>
        </w:rPr>
        <w:t>结束时，采购人现场工作人员向通符合本次采购要求的被邀请供应商发放 “</w:t>
      </w:r>
      <w:r>
        <w:rPr>
          <w:rFonts w:hint="eastAsia" w:ascii="华文宋体" w:hAnsi="华文宋体" w:eastAsia="华文宋体" w:cs="华文宋体"/>
          <w:color w:val="FF0000"/>
          <w:sz w:val="24"/>
          <w:szCs w:val="24"/>
          <w:lang w:eastAsia="zh-CN"/>
        </w:rPr>
        <w:t>最终</w:t>
      </w:r>
      <w:r>
        <w:rPr>
          <w:rFonts w:hint="eastAsia" w:ascii="华文宋体" w:hAnsi="华文宋体" w:eastAsia="华文宋体" w:cs="华文宋体"/>
          <w:color w:val="FF0000"/>
          <w:sz w:val="24"/>
          <w:szCs w:val="24"/>
        </w:rPr>
        <w:t>报价表”，经供应商法定代表人</w:t>
      </w:r>
      <w:r>
        <w:rPr>
          <w:rFonts w:hint="eastAsia" w:ascii="华文宋体" w:hAnsi="华文宋体" w:eastAsia="华文宋体" w:cs="华文宋体"/>
          <w:color w:val="FF0000"/>
          <w:sz w:val="24"/>
        </w:rPr>
        <w:t>/单位负责人</w:t>
      </w:r>
      <w:r>
        <w:rPr>
          <w:rFonts w:hint="eastAsia" w:ascii="华文宋体" w:hAnsi="华文宋体" w:eastAsia="华文宋体" w:cs="华文宋体"/>
          <w:color w:val="FF0000"/>
          <w:sz w:val="24"/>
          <w:szCs w:val="24"/>
        </w:rPr>
        <w:t>或代理人按要求填写</w:t>
      </w:r>
      <w:r>
        <w:rPr>
          <w:rFonts w:hint="eastAsia" w:ascii="华文宋体" w:hAnsi="华文宋体" w:eastAsia="华文宋体" w:cs="华文宋体"/>
          <w:color w:val="FF0000"/>
          <w:sz w:val="24"/>
          <w:szCs w:val="24"/>
          <w:lang w:eastAsia="zh-CN"/>
        </w:rPr>
        <w:t>最终</w:t>
      </w:r>
      <w:r>
        <w:rPr>
          <w:rFonts w:hint="eastAsia" w:ascii="华文宋体" w:hAnsi="华文宋体" w:eastAsia="华文宋体" w:cs="华文宋体"/>
          <w:color w:val="FF0000"/>
          <w:sz w:val="24"/>
          <w:szCs w:val="24"/>
        </w:rPr>
        <w:t>报价后递交给采购人现场工作人员，由其收集齐后集中递交评审小组。供应商在响应文件中提交此表的，不影响其响应文件的有效性，其最后报价以谈判结束后提交的“最后报价表”为准。</w:t>
      </w:r>
    </w:p>
    <w:p>
      <w:pPr>
        <w:pStyle w:val="33"/>
        <w:ind w:firstLine="0" w:firstLineChars="0"/>
      </w:pPr>
    </w:p>
    <w:p>
      <w:pPr>
        <w:spacing w:line="500" w:lineRule="exact"/>
        <w:ind w:firstLine="560" w:firstLineChars="200"/>
        <w:rPr>
          <w:rFonts w:hint="eastAsia" w:asciiTheme="minorEastAsia" w:hAnsiTheme="minorEastAsia" w:eastAsiaTheme="minorEastAsia" w:cstheme="minorEastAsia"/>
          <w:color w:val="000000"/>
        </w:rPr>
      </w:pPr>
    </w:p>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
    <w:altName w:val="华文仿宋"/>
    <w:panose1 w:val="00000000000000000000"/>
    <w:charset w:val="00"/>
    <w:family w:val="roman"/>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Fonts w:hint="eastAsia" w:asciiTheme="minorEastAsia" w:hAnsiTheme="minorEastAsia" w:eastAsiaTheme="minorEastAsia" w:cstheme="minorEastAsia"/>
        <w:sz w:val="24"/>
        <w:szCs w:val="24"/>
      </w:rPr>
      <w:fldChar w:fldCharType="begin"/>
    </w:r>
    <w:r>
      <w:rPr>
        <w:rStyle w:val="24"/>
        <w:rFonts w:hint="eastAsia" w:asciiTheme="minorEastAsia" w:hAnsiTheme="minorEastAsia" w:eastAsiaTheme="minorEastAsia" w:cstheme="minorEastAsia"/>
        <w:sz w:val="24"/>
        <w:szCs w:val="24"/>
      </w:rPr>
      <w:instrText xml:space="preserve">PAGE  </w:instrText>
    </w:r>
    <w:r>
      <w:rPr>
        <w:rFonts w:hint="eastAsia" w:asciiTheme="minorEastAsia" w:hAnsiTheme="minorEastAsia" w:eastAsiaTheme="minorEastAsia" w:cstheme="minorEastAsia"/>
        <w:sz w:val="24"/>
        <w:szCs w:val="24"/>
      </w:rPr>
      <w:fldChar w:fldCharType="separate"/>
    </w:r>
    <w:r>
      <w:rPr>
        <w:rStyle w:val="24"/>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AF22C7"/>
    <w:multiLevelType w:val="singleLevel"/>
    <w:tmpl w:val="DEAF22C7"/>
    <w:lvl w:ilvl="0" w:tentative="0">
      <w:start w:val="4"/>
      <w:numFmt w:val="decimal"/>
      <w:lvlText w:val="%1."/>
      <w:lvlJc w:val="left"/>
      <w:pPr>
        <w:tabs>
          <w:tab w:val="left" w:pos="312"/>
        </w:tabs>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F1F0767"/>
    <w:multiLevelType w:val="singleLevel"/>
    <w:tmpl w:val="4F1F0767"/>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381"/>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MzI5ZDkwYjVkNGY3MzkxNDg4ODI3Yzc0MTUzZjYifQ=="/>
  </w:docVars>
  <w:rsids>
    <w:rsidRoot w:val="00172A27"/>
    <w:rsid w:val="00000E37"/>
    <w:rsid w:val="00006B58"/>
    <w:rsid w:val="00006F7D"/>
    <w:rsid w:val="00013D76"/>
    <w:rsid w:val="0001712D"/>
    <w:rsid w:val="00026C32"/>
    <w:rsid w:val="000412CD"/>
    <w:rsid w:val="00073623"/>
    <w:rsid w:val="00080B89"/>
    <w:rsid w:val="00083FC2"/>
    <w:rsid w:val="0009312B"/>
    <w:rsid w:val="000964F0"/>
    <w:rsid w:val="00096B33"/>
    <w:rsid w:val="000A2745"/>
    <w:rsid w:val="000A6E26"/>
    <w:rsid w:val="000B1309"/>
    <w:rsid w:val="000B1DE3"/>
    <w:rsid w:val="000C1723"/>
    <w:rsid w:val="000C5FC4"/>
    <w:rsid w:val="000D55EF"/>
    <w:rsid w:val="000D5B49"/>
    <w:rsid w:val="000D71BE"/>
    <w:rsid w:val="000F064E"/>
    <w:rsid w:val="000F5F52"/>
    <w:rsid w:val="001026F4"/>
    <w:rsid w:val="0011382E"/>
    <w:rsid w:val="001147EA"/>
    <w:rsid w:val="0011691C"/>
    <w:rsid w:val="001205CB"/>
    <w:rsid w:val="001264B4"/>
    <w:rsid w:val="00141124"/>
    <w:rsid w:val="00146D29"/>
    <w:rsid w:val="00164A32"/>
    <w:rsid w:val="00175C98"/>
    <w:rsid w:val="001914B4"/>
    <w:rsid w:val="00193A26"/>
    <w:rsid w:val="001979A3"/>
    <w:rsid w:val="001A0DD7"/>
    <w:rsid w:val="001A118C"/>
    <w:rsid w:val="001C0997"/>
    <w:rsid w:val="001C2687"/>
    <w:rsid w:val="001C48F7"/>
    <w:rsid w:val="001F556F"/>
    <w:rsid w:val="00205526"/>
    <w:rsid w:val="00206BB4"/>
    <w:rsid w:val="00207D91"/>
    <w:rsid w:val="00237BCE"/>
    <w:rsid w:val="00245685"/>
    <w:rsid w:val="00251862"/>
    <w:rsid w:val="00253FE2"/>
    <w:rsid w:val="002731C8"/>
    <w:rsid w:val="00273BA6"/>
    <w:rsid w:val="002852E2"/>
    <w:rsid w:val="0029622C"/>
    <w:rsid w:val="002C05B8"/>
    <w:rsid w:val="002C5730"/>
    <w:rsid w:val="002D4359"/>
    <w:rsid w:val="002F7BA0"/>
    <w:rsid w:val="00334B70"/>
    <w:rsid w:val="00336981"/>
    <w:rsid w:val="003523AB"/>
    <w:rsid w:val="003732A4"/>
    <w:rsid w:val="00381E81"/>
    <w:rsid w:val="003B7368"/>
    <w:rsid w:val="003C05BA"/>
    <w:rsid w:val="003C6274"/>
    <w:rsid w:val="003C70D9"/>
    <w:rsid w:val="003D268D"/>
    <w:rsid w:val="004158D4"/>
    <w:rsid w:val="0042567A"/>
    <w:rsid w:val="00430418"/>
    <w:rsid w:val="004358A1"/>
    <w:rsid w:val="004377D2"/>
    <w:rsid w:val="0044125C"/>
    <w:rsid w:val="00445DB3"/>
    <w:rsid w:val="00452A49"/>
    <w:rsid w:val="00482D4F"/>
    <w:rsid w:val="004856E8"/>
    <w:rsid w:val="004A39C2"/>
    <w:rsid w:val="004B0C9F"/>
    <w:rsid w:val="004B466B"/>
    <w:rsid w:val="004B6FF0"/>
    <w:rsid w:val="004D0B5D"/>
    <w:rsid w:val="004D1623"/>
    <w:rsid w:val="004E4AA0"/>
    <w:rsid w:val="00500D74"/>
    <w:rsid w:val="00511799"/>
    <w:rsid w:val="00514F3A"/>
    <w:rsid w:val="00527D5D"/>
    <w:rsid w:val="00540427"/>
    <w:rsid w:val="00551899"/>
    <w:rsid w:val="005525A0"/>
    <w:rsid w:val="0055680D"/>
    <w:rsid w:val="005758A3"/>
    <w:rsid w:val="0058246F"/>
    <w:rsid w:val="005829BD"/>
    <w:rsid w:val="00584857"/>
    <w:rsid w:val="00592352"/>
    <w:rsid w:val="005B2D23"/>
    <w:rsid w:val="005B3F02"/>
    <w:rsid w:val="005C4BEB"/>
    <w:rsid w:val="005E40EB"/>
    <w:rsid w:val="005F5FA1"/>
    <w:rsid w:val="006003AE"/>
    <w:rsid w:val="00612EC3"/>
    <w:rsid w:val="0061526D"/>
    <w:rsid w:val="00620B09"/>
    <w:rsid w:val="00623BCF"/>
    <w:rsid w:val="00634F38"/>
    <w:rsid w:val="006513A5"/>
    <w:rsid w:val="0069719A"/>
    <w:rsid w:val="006A487B"/>
    <w:rsid w:val="006D4B93"/>
    <w:rsid w:val="006E47FE"/>
    <w:rsid w:val="006E5531"/>
    <w:rsid w:val="006F6FBF"/>
    <w:rsid w:val="006F7680"/>
    <w:rsid w:val="00726E17"/>
    <w:rsid w:val="00727B58"/>
    <w:rsid w:val="00733730"/>
    <w:rsid w:val="00740FAE"/>
    <w:rsid w:val="007420F3"/>
    <w:rsid w:val="00750FA8"/>
    <w:rsid w:val="00755B3F"/>
    <w:rsid w:val="007657CB"/>
    <w:rsid w:val="00784C3B"/>
    <w:rsid w:val="00786A4C"/>
    <w:rsid w:val="007B1AF1"/>
    <w:rsid w:val="007B6E68"/>
    <w:rsid w:val="007C0A5C"/>
    <w:rsid w:val="007D314B"/>
    <w:rsid w:val="007E640B"/>
    <w:rsid w:val="007F309A"/>
    <w:rsid w:val="007F78CC"/>
    <w:rsid w:val="00802FFF"/>
    <w:rsid w:val="008142EB"/>
    <w:rsid w:val="00814C89"/>
    <w:rsid w:val="00820268"/>
    <w:rsid w:val="00823342"/>
    <w:rsid w:val="00823AC4"/>
    <w:rsid w:val="008274FB"/>
    <w:rsid w:val="00833E3C"/>
    <w:rsid w:val="00864948"/>
    <w:rsid w:val="00867AA3"/>
    <w:rsid w:val="00867BE1"/>
    <w:rsid w:val="008712E8"/>
    <w:rsid w:val="00877750"/>
    <w:rsid w:val="008A0806"/>
    <w:rsid w:val="008C27A6"/>
    <w:rsid w:val="008C5994"/>
    <w:rsid w:val="008D6C85"/>
    <w:rsid w:val="008E3E3E"/>
    <w:rsid w:val="008E47BE"/>
    <w:rsid w:val="008F5688"/>
    <w:rsid w:val="009012A5"/>
    <w:rsid w:val="009114DE"/>
    <w:rsid w:val="00937A18"/>
    <w:rsid w:val="009473BD"/>
    <w:rsid w:val="00951022"/>
    <w:rsid w:val="009601A1"/>
    <w:rsid w:val="0096142D"/>
    <w:rsid w:val="009634FA"/>
    <w:rsid w:val="00980BA1"/>
    <w:rsid w:val="009B3F93"/>
    <w:rsid w:val="009C2A94"/>
    <w:rsid w:val="009D0816"/>
    <w:rsid w:val="009D6EEF"/>
    <w:rsid w:val="009F6853"/>
    <w:rsid w:val="00A01537"/>
    <w:rsid w:val="00A03791"/>
    <w:rsid w:val="00A06623"/>
    <w:rsid w:val="00A17B17"/>
    <w:rsid w:val="00A21499"/>
    <w:rsid w:val="00A21521"/>
    <w:rsid w:val="00A333DF"/>
    <w:rsid w:val="00A42386"/>
    <w:rsid w:val="00A44CB8"/>
    <w:rsid w:val="00A5444B"/>
    <w:rsid w:val="00A550DF"/>
    <w:rsid w:val="00A6434D"/>
    <w:rsid w:val="00A732AF"/>
    <w:rsid w:val="00A838D8"/>
    <w:rsid w:val="00AA2B24"/>
    <w:rsid w:val="00AC4615"/>
    <w:rsid w:val="00AD4E32"/>
    <w:rsid w:val="00AD652E"/>
    <w:rsid w:val="00AF6834"/>
    <w:rsid w:val="00B15317"/>
    <w:rsid w:val="00B163CB"/>
    <w:rsid w:val="00B2626C"/>
    <w:rsid w:val="00B37916"/>
    <w:rsid w:val="00B5046D"/>
    <w:rsid w:val="00B65C51"/>
    <w:rsid w:val="00B85EEB"/>
    <w:rsid w:val="00B874E5"/>
    <w:rsid w:val="00B924F4"/>
    <w:rsid w:val="00B9610D"/>
    <w:rsid w:val="00BA22AB"/>
    <w:rsid w:val="00BA7384"/>
    <w:rsid w:val="00BB7919"/>
    <w:rsid w:val="00BD52D0"/>
    <w:rsid w:val="00BD667A"/>
    <w:rsid w:val="00BE30A5"/>
    <w:rsid w:val="00BE47AC"/>
    <w:rsid w:val="00BF588C"/>
    <w:rsid w:val="00C11250"/>
    <w:rsid w:val="00C155C7"/>
    <w:rsid w:val="00C2382A"/>
    <w:rsid w:val="00C54EDC"/>
    <w:rsid w:val="00C57873"/>
    <w:rsid w:val="00C80D54"/>
    <w:rsid w:val="00C84032"/>
    <w:rsid w:val="00CA0EF6"/>
    <w:rsid w:val="00CA15CC"/>
    <w:rsid w:val="00CB7F88"/>
    <w:rsid w:val="00CD6F13"/>
    <w:rsid w:val="00CE4609"/>
    <w:rsid w:val="00CE5612"/>
    <w:rsid w:val="00D05D34"/>
    <w:rsid w:val="00D14236"/>
    <w:rsid w:val="00D806F3"/>
    <w:rsid w:val="00D81463"/>
    <w:rsid w:val="00D82B1F"/>
    <w:rsid w:val="00D95767"/>
    <w:rsid w:val="00DA142C"/>
    <w:rsid w:val="00DC3270"/>
    <w:rsid w:val="00DC3EFA"/>
    <w:rsid w:val="00E009C6"/>
    <w:rsid w:val="00E12425"/>
    <w:rsid w:val="00E15D36"/>
    <w:rsid w:val="00E221C7"/>
    <w:rsid w:val="00E2721D"/>
    <w:rsid w:val="00E31752"/>
    <w:rsid w:val="00E410CD"/>
    <w:rsid w:val="00E42ECA"/>
    <w:rsid w:val="00E45778"/>
    <w:rsid w:val="00E46440"/>
    <w:rsid w:val="00E55C92"/>
    <w:rsid w:val="00E63AD8"/>
    <w:rsid w:val="00E6407D"/>
    <w:rsid w:val="00E736A7"/>
    <w:rsid w:val="00E8698A"/>
    <w:rsid w:val="00E96ADA"/>
    <w:rsid w:val="00EA7902"/>
    <w:rsid w:val="00EB2759"/>
    <w:rsid w:val="00EB32BE"/>
    <w:rsid w:val="00EB542C"/>
    <w:rsid w:val="00EB5C97"/>
    <w:rsid w:val="00EC4735"/>
    <w:rsid w:val="00EC613D"/>
    <w:rsid w:val="00ED2626"/>
    <w:rsid w:val="00EE609A"/>
    <w:rsid w:val="00EE699C"/>
    <w:rsid w:val="00EF0544"/>
    <w:rsid w:val="00EF2839"/>
    <w:rsid w:val="00EF7C12"/>
    <w:rsid w:val="00F14634"/>
    <w:rsid w:val="00F21398"/>
    <w:rsid w:val="00F2698F"/>
    <w:rsid w:val="00F532B0"/>
    <w:rsid w:val="00F602DB"/>
    <w:rsid w:val="00F86FDB"/>
    <w:rsid w:val="00F96223"/>
    <w:rsid w:val="00F96738"/>
    <w:rsid w:val="00FB1816"/>
    <w:rsid w:val="00FC27BA"/>
    <w:rsid w:val="00FC59B8"/>
    <w:rsid w:val="00FE3679"/>
    <w:rsid w:val="00FE6D79"/>
    <w:rsid w:val="02B05AE8"/>
    <w:rsid w:val="05AA1091"/>
    <w:rsid w:val="09DA2416"/>
    <w:rsid w:val="0D2A7AEC"/>
    <w:rsid w:val="0EC85540"/>
    <w:rsid w:val="12B54277"/>
    <w:rsid w:val="16D50695"/>
    <w:rsid w:val="16FE7416"/>
    <w:rsid w:val="19FF10B6"/>
    <w:rsid w:val="1FF748EB"/>
    <w:rsid w:val="233C2F0D"/>
    <w:rsid w:val="244D0366"/>
    <w:rsid w:val="2A4D0526"/>
    <w:rsid w:val="2C2C442A"/>
    <w:rsid w:val="2CF66CD1"/>
    <w:rsid w:val="2E631298"/>
    <w:rsid w:val="31451437"/>
    <w:rsid w:val="322F1761"/>
    <w:rsid w:val="3238079B"/>
    <w:rsid w:val="32B273C6"/>
    <w:rsid w:val="32C10FF8"/>
    <w:rsid w:val="356C7AC2"/>
    <w:rsid w:val="35E75EF8"/>
    <w:rsid w:val="36802350"/>
    <w:rsid w:val="37360EC3"/>
    <w:rsid w:val="37AB2644"/>
    <w:rsid w:val="38672738"/>
    <w:rsid w:val="39567707"/>
    <w:rsid w:val="3A1750B5"/>
    <w:rsid w:val="3CEA4269"/>
    <w:rsid w:val="3F173121"/>
    <w:rsid w:val="3F2D6382"/>
    <w:rsid w:val="417D59AA"/>
    <w:rsid w:val="42B6713C"/>
    <w:rsid w:val="42CE7C85"/>
    <w:rsid w:val="43277263"/>
    <w:rsid w:val="43FD404B"/>
    <w:rsid w:val="452E69BA"/>
    <w:rsid w:val="4893343A"/>
    <w:rsid w:val="49445E9F"/>
    <w:rsid w:val="495079E3"/>
    <w:rsid w:val="49891BAD"/>
    <w:rsid w:val="4BBB422B"/>
    <w:rsid w:val="4D4A3C90"/>
    <w:rsid w:val="4DAC1B4C"/>
    <w:rsid w:val="51B07591"/>
    <w:rsid w:val="52D54D39"/>
    <w:rsid w:val="53345528"/>
    <w:rsid w:val="566B482D"/>
    <w:rsid w:val="596E7193"/>
    <w:rsid w:val="5BD73125"/>
    <w:rsid w:val="5C4E37F7"/>
    <w:rsid w:val="5C6D7041"/>
    <w:rsid w:val="5EA6005F"/>
    <w:rsid w:val="5FEF5739"/>
    <w:rsid w:val="60AF1847"/>
    <w:rsid w:val="61203B3C"/>
    <w:rsid w:val="629F12C8"/>
    <w:rsid w:val="64BA0C2B"/>
    <w:rsid w:val="682A4944"/>
    <w:rsid w:val="685D5524"/>
    <w:rsid w:val="6AC11ED0"/>
    <w:rsid w:val="6B3B1AA5"/>
    <w:rsid w:val="6B676D49"/>
    <w:rsid w:val="6BBC1482"/>
    <w:rsid w:val="716A1F31"/>
    <w:rsid w:val="722A1ADB"/>
    <w:rsid w:val="73A71444"/>
    <w:rsid w:val="75DE609D"/>
    <w:rsid w:val="77B16E1A"/>
    <w:rsid w:val="77DB3584"/>
    <w:rsid w:val="790B7076"/>
    <w:rsid w:val="7C247549"/>
    <w:rsid w:val="7F3D6D96"/>
    <w:rsid w:val="E29E8E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8"/>
      <w:lang w:val="en-US" w:eastAsia="zh-CN" w:bidi="ar-SA"/>
    </w:rPr>
  </w:style>
  <w:style w:type="paragraph" w:styleId="4">
    <w:name w:val="heading 1"/>
    <w:basedOn w:val="1"/>
    <w:next w:val="1"/>
    <w:link w:val="46"/>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link w:val="39"/>
    <w:qFormat/>
    <w:uiPriority w:val="0"/>
    <w:pPr>
      <w:keepNext/>
      <w:keepLines/>
      <w:spacing w:before="280" w:after="290" w:line="376" w:lineRule="auto"/>
      <w:outlineLvl w:val="3"/>
    </w:pPr>
    <w:rPr>
      <w:rFonts w:ascii="Cambria" w:hAnsi="Cambria" w:eastAsia="宋体" w:cs="Times New Roman"/>
      <w:b/>
      <w:bCs/>
    </w:rPr>
  </w:style>
  <w:style w:type="character" w:default="1" w:styleId="23">
    <w:name w:val="Default Paragraph Font"/>
    <w:semiHidden/>
    <w:qFormat/>
    <w:uiPriority w:val="0"/>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First Indent"/>
    <w:basedOn w:val="2"/>
    <w:qFormat/>
    <w:uiPriority w:val="99"/>
    <w:pPr>
      <w:ind w:firstLine="420" w:firstLineChars="100"/>
    </w:pPr>
  </w:style>
  <w:style w:type="paragraph" w:styleId="8">
    <w:name w:val="Normal Indent"/>
    <w:basedOn w:val="1"/>
    <w:qFormat/>
    <w:uiPriority w:val="0"/>
    <w:pPr>
      <w:ind w:firstLine="420"/>
    </w:pPr>
    <w:rPr>
      <w:sz w:val="21"/>
      <w:szCs w:val="20"/>
    </w:rPr>
  </w:style>
  <w:style w:type="paragraph" w:styleId="9">
    <w:name w:val="annotation text"/>
    <w:basedOn w:val="1"/>
    <w:link w:val="40"/>
    <w:semiHidden/>
    <w:qFormat/>
    <w:uiPriority w:val="0"/>
    <w:pPr>
      <w:jc w:val="left"/>
    </w:pPr>
  </w:style>
  <w:style w:type="paragraph" w:styleId="10">
    <w:name w:val="toc 3"/>
    <w:basedOn w:val="1"/>
    <w:next w:val="1"/>
    <w:semiHidden/>
    <w:qFormat/>
    <w:uiPriority w:val="0"/>
    <w:pPr>
      <w:ind w:left="840" w:leftChars="400"/>
    </w:pPr>
  </w:style>
  <w:style w:type="paragraph" w:styleId="11">
    <w:name w:val="Plain Text"/>
    <w:basedOn w:val="1"/>
    <w:link w:val="44"/>
    <w:qFormat/>
    <w:uiPriority w:val="99"/>
    <w:rPr>
      <w:rFonts w:ascii="宋体" w:hAnsi="Courier New"/>
      <w:snapToGrid w:val="0"/>
      <w:kern w:val="10"/>
      <w:szCs w:val="20"/>
    </w:rPr>
  </w:style>
  <w:style w:type="paragraph" w:styleId="12">
    <w:name w:val="Date"/>
    <w:basedOn w:val="1"/>
    <w:next w:val="1"/>
    <w:link w:val="45"/>
    <w:unhideWhenUsed/>
    <w:qFormat/>
    <w:uiPriority w:val="99"/>
    <w:rPr>
      <w:rFonts w:eastAsia="楷体_GB2312"/>
      <w:szCs w:val="20"/>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9118"/>
      </w:tabs>
      <w:jc w:val="center"/>
    </w:pPr>
    <w:rPr>
      <w:rFonts w:ascii="仿宋_GB2312" w:hAnsi="宋体" w:eastAsia="仿宋_GB2312"/>
      <w:b/>
      <w:color w:val="FF0000"/>
    </w:rPr>
  </w:style>
  <w:style w:type="paragraph" w:styleId="17">
    <w:name w:val="toc 2"/>
    <w:basedOn w:val="1"/>
    <w:next w:val="1"/>
    <w:semiHidden/>
    <w:qFormat/>
    <w:uiPriority w:val="0"/>
    <w:pPr>
      <w:ind w:left="420" w:leftChars="200"/>
    </w:pPr>
  </w:style>
  <w:style w:type="paragraph" w:styleId="18">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szCs w:val="24"/>
    </w:rPr>
  </w:style>
  <w:style w:type="paragraph" w:styleId="20">
    <w:name w:val="annotation subject"/>
    <w:basedOn w:val="9"/>
    <w:next w:val="9"/>
    <w:semiHidden/>
    <w:qFormat/>
    <w:uiPriority w:val="0"/>
    <w:rPr>
      <w:b/>
      <w:bCs/>
    </w:rPr>
  </w:style>
  <w:style w:type="table" w:styleId="22">
    <w:name w:val="Table Grid"/>
    <w:basedOn w:val="21"/>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21、合同二级标题序号"/>
    <w:basedOn w:val="1"/>
    <w:qFormat/>
    <w:uiPriority w:val="0"/>
    <w:pPr>
      <w:tabs>
        <w:tab w:val="left" w:pos="0"/>
      </w:tabs>
      <w:wordWrap w:val="0"/>
      <w:topLinePunct/>
      <w:adjustRightInd w:val="0"/>
      <w:snapToGrid w:val="0"/>
      <w:spacing w:line="440" w:lineRule="exact"/>
      <w:jc w:val="left"/>
      <w:outlineLvl w:val="1"/>
    </w:pPr>
    <w:rPr>
      <w:rFonts w:ascii="宋体" w:hAnsi="宋体" w:cs="Times New Roman"/>
      <w:b/>
      <w:snapToGrid w:val="0"/>
      <w:sz w:val="24"/>
      <w:szCs w:val="24"/>
    </w:rPr>
  </w:style>
  <w:style w:type="paragraph" w:customStyle="1" w:styleId="28">
    <w:name w:val="17“1.”四级标题"/>
    <w:basedOn w:val="1"/>
    <w:qFormat/>
    <w:uiPriority w:val="0"/>
    <w:pPr>
      <w:tabs>
        <w:tab w:val="left" w:pos="0"/>
      </w:tabs>
      <w:wordWrap w:val="0"/>
      <w:topLinePunct/>
      <w:adjustRightInd w:val="0"/>
      <w:snapToGrid w:val="0"/>
      <w:spacing w:line="440" w:lineRule="exact"/>
      <w:ind w:firstLine="803" w:firstLineChars="200"/>
      <w:jc w:val="left"/>
    </w:pPr>
    <w:rPr>
      <w:rFonts w:ascii="宋体" w:hAnsi="宋体" w:cs="Times New Roman"/>
      <w:sz w:val="24"/>
      <w:szCs w:val="24"/>
    </w:rPr>
  </w:style>
  <w:style w:type="paragraph" w:customStyle="1" w:styleId="29">
    <w:name w:val="p0"/>
    <w:basedOn w:val="1"/>
    <w:qFormat/>
    <w:uiPriority w:val="0"/>
    <w:pPr>
      <w:widowControl/>
    </w:pPr>
    <w:rPr>
      <w:rFonts w:ascii="Calibri" w:hAnsi="Calibri" w:cs="宋体"/>
      <w:kern w:val="0"/>
      <w:sz w:val="21"/>
      <w:szCs w:val="21"/>
    </w:rPr>
  </w:style>
  <w:style w:type="paragraph" w:customStyle="1" w:styleId="30">
    <w:name w:val="05、“(一)”正文三级标题"/>
    <w:basedOn w:val="1"/>
    <w:link w:val="41"/>
    <w:qFormat/>
    <w:uiPriority w:val="0"/>
    <w:pPr>
      <w:tabs>
        <w:tab w:val="left" w:pos="0"/>
      </w:tabs>
      <w:wordWrap w:val="0"/>
      <w:topLinePunct/>
      <w:adjustRightInd w:val="0"/>
      <w:snapToGrid w:val="0"/>
      <w:spacing w:line="440" w:lineRule="exact"/>
      <w:ind w:firstLine="803" w:firstLineChars="200"/>
      <w:jc w:val="left"/>
    </w:pPr>
    <w:rPr>
      <w:rFonts w:ascii="宋体" w:hAnsi="宋体"/>
      <w:kern w:val="0"/>
      <w:sz w:val="24"/>
      <w:szCs w:val="24"/>
    </w:rPr>
  </w:style>
  <w:style w:type="paragraph" w:customStyle="1" w:styleId="31">
    <w:name w:val="标题 5（有编号）（绿盟科技）"/>
    <w:basedOn w:val="1"/>
    <w:next w:val="1"/>
    <w:qFormat/>
    <w:uiPriority w:val="99"/>
    <w:pPr>
      <w:keepNext/>
      <w:keepLines/>
      <w:widowControl/>
      <w:numPr>
        <w:ilvl w:val="4"/>
        <w:numId w:val="1"/>
      </w:numPr>
      <w:spacing w:before="280" w:after="156" w:line="377" w:lineRule="auto"/>
      <w:jc w:val="left"/>
      <w:outlineLvl w:val="4"/>
    </w:pPr>
    <w:rPr>
      <w:rFonts w:ascii="Arial" w:hAnsi="Arial" w:eastAsia="黑体" w:cs="Arial"/>
      <w:b/>
      <w:bCs/>
      <w:kern w:val="0"/>
      <w:sz w:val="24"/>
      <w:szCs w:val="24"/>
    </w:rPr>
  </w:style>
  <w:style w:type="paragraph" w:customStyle="1" w:styleId="32">
    <w:name w:val="CD正文"/>
    <w:basedOn w:val="1"/>
    <w:qFormat/>
    <w:uiPriority w:val="0"/>
    <w:pPr>
      <w:spacing w:line="360" w:lineRule="auto"/>
      <w:ind w:firstLine="493"/>
      <w:jc w:val="left"/>
    </w:pPr>
    <w:rPr>
      <w:rFonts w:ascii="Calibri" w:hAnsi="Calibri"/>
      <w:sz w:val="30"/>
    </w:rPr>
  </w:style>
  <w:style w:type="paragraph" w:customStyle="1" w:styleId="33">
    <w:name w:val="！正文"/>
    <w:basedOn w:val="1"/>
    <w:qFormat/>
    <w:uiPriority w:val="0"/>
    <w:pPr>
      <w:spacing w:line="360" w:lineRule="auto"/>
      <w:ind w:firstLine="200" w:firstLineChars="200"/>
      <w:jc w:val="left"/>
    </w:pPr>
    <w:rPr>
      <w:rFonts w:ascii="华文细黑" w:hAnsi="华文细黑" w:eastAsia="华文细黑"/>
      <w:kern w:val="0"/>
      <w:sz w:val="24"/>
      <w:szCs w:val="24"/>
    </w:rPr>
  </w:style>
  <w:style w:type="paragraph" w:customStyle="1" w:styleId="34">
    <w:name w:val="Default"/>
    <w:qFormat/>
    <w:uiPriority w:val="0"/>
    <w:pPr>
      <w:widowControl w:val="0"/>
    </w:pPr>
    <w:rPr>
      <w:rFonts w:ascii="......." w:hAnsi="......." w:eastAsia="宋体" w:cs="宋体"/>
      <w:color w:val="000000"/>
      <w:sz w:val="24"/>
      <w:szCs w:val="24"/>
      <w:lang w:val="en-US" w:eastAsia="zh-CN" w:bidi="ar-SA"/>
    </w:rPr>
  </w:style>
  <w:style w:type="paragraph" w:styleId="35">
    <w:name w:val="List Paragraph"/>
    <w:basedOn w:val="1"/>
    <w:qFormat/>
    <w:uiPriority w:val="34"/>
    <w:pPr>
      <w:ind w:firstLine="420" w:firstLineChars="200"/>
    </w:pPr>
    <w:rPr>
      <w:sz w:val="21"/>
      <w:szCs w:val="20"/>
    </w:rPr>
  </w:style>
  <w:style w:type="paragraph" w:customStyle="1" w:styleId="36">
    <w:name w:val=" Char1"/>
    <w:basedOn w:val="1"/>
    <w:qFormat/>
    <w:uiPriority w:val="0"/>
    <w:rPr>
      <w:sz w:val="21"/>
      <w:szCs w:val="24"/>
    </w:rPr>
  </w:style>
  <w:style w:type="paragraph" w:customStyle="1" w:styleId="37">
    <w:name w:val="09正文_wh"/>
    <w:qFormat/>
    <w:uiPriority w:val="99"/>
    <w:pPr>
      <w:spacing w:line="300" w:lineRule="auto"/>
      <w:ind w:firstLine="200" w:firstLineChars="200"/>
      <w:jc w:val="both"/>
    </w:pPr>
    <w:rPr>
      <w:rFonts w:ascii="Calibri" w:hAnsi="Calibri" w:eastAsia="宋体" w:cs="Calibri"/>
      <w:kern w:val="2"/>
      <w:sz w:val="28"/>
      <w:szCs w:val="28"/>
      <w:lang w:val="en-US" w:eastAsia="zh-CN" w:bidi="ar-SA"/>
    </w:rPr>
  </w:style>
  <w:style w:type="paragraph" w:customStyle="1" w:styleId="38">
    <w:name w:val="06、“1.”正文四级标题"/>
    <w:basedOn w:val="1"/>
    <w:link w:val="42"/>
    <w:qFormat/>
    <w:uiPriority w:val="0"/>
    <w:pPr>
      <w:tabs>
        <w:tab w:val="left" w:pos="0"/>
      </w:tabs>
      <w:wordWrap w:val="0"/>
      <w:topLinePunct/>
      <w:adjustRightInd w:val="0"/>
      <w:snapToGrid w:val="0"/>
      <w:spacing w:line="440" w:lineRule="exact"/>
      <w:ind w:firstLine="803" w:firstLineChars="200"/>
      <w:jc w:val="left"/>
    </w:pPr>
    <w:rPr>
      <w:rFonts w:ascii="宋体" w:hAnsi="宋体"/>
      <w:snapToGrid w:val="0"/>
      <w:kern w:val="0"/>
      <w:sz w:val="24"/>
      <w:szCs w:val="24"/>
    </w:rPr>
  </w:style>
  <w:style w:type="character" w:customStyle="1" w:styleId="39">
    <w:name w:val="标题 4 Char"/>
    <w:basedOn w:val="23"/>
    <w:link w:val="7"/>
    <w:semiHidden/>
    <w:qFormat/>
    <w:uiPriority w:val="0"/>
    <w:rPr>
      <w:rFonts w:ascii="Cambria" w:hAnsi="Cambria" w:eastAsia="宋体" w:cs="Times New Roman"/>
      <w:b/>
      <w:bCs/>
      <w:kern w:val="2"/>
      <w:sz w:val="28"/>
      <w:szCs w:val="28"/>
    </w:rPr>
  </w:style>
  <w:style w:type="character" w:customStyle="1" w:styleId="40">
    <w:name w:val="批注文字 Char"/>
    <w:link w:val="9"/>
    <w:semiHidden/>
    <w:qFormat/>
    <w:uiPriority w:val="0"/>
    <w:rPr>
      <w:rFonts w:eastAsia="宋体"/>
      <w:kern w:val="2"/>
      <w:sz w:val="28"/>
      <w:szCs w:val="28"/>
      <w:lang w:val="en-US" w:eastAsia="zh-CN" w:bidi="ar-SA"/>
    </w:rPr>
  </w:style>
  <w:style w:type="character" w:customStyle="1" w:styleId="41">
    <w:name w:val="05、“(一)”正文三级标题 Char"/>
    <w:link w:val="30"/>
    <w:qFormat/>
    <w:uiPriority w:val="0"/>
    <w:rPr>
      <w:rFonts w:ascii="宋体" w:hAnsi="宋体"/>
      <w:sz w:val="24"/>
      <w:szCs w:val="24"/>
    </w:rPr>
  </w:style>
  <w:style w:type="character" w:customStyle="1" w:styleId="42">
    <w:name w:val="06、“1.”正文四级标题 Char"/>
    <w:link w:val="38"/>
    <w:qFormat/>
    <w:uiPriority w:val="0"/>
    <w:rPr>
      <w:rFonts w:ascii="宋体" w:hAnsi="宋体"/>
      <w:snapToGrid w:val="0"/>
      <w:sz w:val="24"/>
      <w:szCs w:val="24"/>
    </w:rPr>
  </w:style>
  <w:style w:type="character" w:customStyle="1" w:styleId="43">
    <w:name w:val="apple-converted-space"/>
    <w:basedOn w:val="23"/>
    <w:qFormat/>
    <w:uiPriority w:val="0"/>
  </w:style>
  <w:style w:type="character" w:customStyle="1" w:styleId="44">
    <w:name w:val="纯文本 Char"/>
    <w:link w:val="11"/>
    <w:qFormat/>
    <w:uiPriority w:val="99"/>
    <w:rPr>
      <w:rFonts w:ascii="宋体" w:hAnsi="Courier New"/>
      <w:snapToGrid w:val="0"/>
      <w:kern w:val="10"/>
      <w:sz w:val="28"/>
    </w:rPr>
  </w:style>
  <w:style w:type="character" w:customStyle="1" w:styleId="45">
    <w:name w:val="日期 Char"/>
    <w:basedOn w:val="23"/>
    <w:link w:val="12"/>
    <w:qFormat/>
    <w:uiPriority w:val="99"/>
    <w:rPr>
      <w:rFonts w:eastAsia="楷体_GB2312"/>
      <w:kern w:val="2"/>
      <w:sz w:val="28"/>
    </w:rPr>
  </w:style>
  <w:style w:type="character" w:customStyle="1" w:styleId="46">
    <w:name w:val="标题 1 Char"/>
    <w:link w:val="4"/>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13</Pages>
  <Words>5242</Words>
  <Characters>5350</Characters>
  <Lines>47</Lines>
  <Paragraphs>13</Paragraphs>
  <TotalTime>1</TotalTime>
  <ScaleCrop>false</ScaleCrop>
  <LinksUpToDate>false</LinksUpToDate>
  <CharactersWithSpaces>5568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2020-01-21T15:56:00Z</dcterms:created>
  <dc:creator>FtpDown</dc:creator>
  <cp:lastModifiedBy>AOC</cp:lastModifiedBy>
  <cp:lastPrinted>2024-01-29T09:39:00Z</cp:lastPrinted>
  <dcterms:modified xsi:type="dcterms:W3CDTF">2025-11-17T06:35:15Z</dcterms:modified>
  <dc:title>招 标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1963E435E940B2BC4A6A1169A84B4EA7</vt:lpwstr>
  </property>
</Properties>
</file>