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rPr>
      </w:pPr>
    </w:p>
    <w:p>
      <w:pPr>
        <w:jc w:val="center"/>
        <w:rPr>
          <w:rFonts w:ascii="仿宋_GB2312" w:eastAsia="仿宋_GB2312"/>
        </w:rPr>
      </w:pPr>
    </w:p>
    <w:p>
      <w:pPr>
        <w:jc w:val="center"/>
        <w:rPr>
          <w:rFonts w:asciiTheme="majorEastAsia" w:hAnsiTheme="majorEastAsia" w:eastAsiaTheme="majorEastAsia" w:cstheme="majorEastAsia"/>
          <w:b/>
          <w:sz w:val="72"/>
          <w:szCs w:val="72"/>
        </w:rPr>
      </w:pPr>
      <w:r>
        <w:rPr>
          <w:rFonts w:hint="eastAsia" w:asciiTheme="majorEastAsia" w:hAnsiTheme="majorEastAsia" w:eastAsiaTheme="majorEastAsia" w:cstheme="majorEastAsia"/>
          <w:b/>
          <w:sz w:val="72"/>
          <w:szCs w:val="72"/>
        </w:rPr>
        <w:t>竞争性谈判文件</w:t>
      </w:r>
    </w:p>
    <w:p>
      <w:pPr>
        <w:jc w:val="center"/>
        <w:rPr>
          <w:rFonts w:asciiTheme="majorEastAsia" w:hAnsiTheme="majorEastAsia" w:eastAsiaTheme="majorEastAsia" w:cstheme="majorEastAsia"/>
          <w:sz w:val="72"/>
          <w:szCs w:val="72"/>
        </w:rPr>
      </w:pPr>
    </w:p>
    <w:p>
      <w:pPr>
        <w:jc w:val="center"/>
        <w:rPr>
          <w:rFonts w:asciiTheme="majorEastAsia" w:hAnsiTheme="majorEastAsia" w:eastAsiaTheme="majorEastAsia" w:cstheme="majorEastAsia"/>
        </w:rPr>
      </w:pPr>
    </w:p>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sz w:val="36"/>
          <w:szCs w:val="36"/>
        </w:rPr>
        <w:t xml:space="preserve"> 项目名称：</w:t>
      </w:r>
      <w:r>
        <w:rPr>
          <w:rFonts w:hint="eastAsia" w:asciiTheme="majorEastAsia" w:hAnsiTheme="majorEastAsia" w:eastAsiaTheme="majorEastAsia" w:cstheme="minorEastAsia"/>
          <w:b/>
          <w:bCs/>
          <w:kern w:val="0"/>
          <w:sz w:val="36"/>
          <w:szCs w:val="36"/>
        </w:rPr>
        <w:t>四川省南宝山服饰有限公司白玉县盖玉镇打造党建引领法治示范村和基层法治党建工作站采购</w:t>
      </w:r>
    </w:p>
    <w:p>
      <w:pPr>
        <w:jc w:val="center"/>
        <w:rPr>
          <w:rFonts w:asciiTheme="majorEastAsia" w:hAnsiTheme="majorEastAsia" w:eastAsiaTheme="majorEastAsia" w:cstheme="majorEastAsia"/>
          <w:sz w:val="36"/>
          <w:szCs w:val="36"/>
        </w:rPr>
      </w:pPr>
    </w:p>
    <w:p>
      <w:pPr>
        <w:jc w:val="center"/>
        <w:rPr>
          <w:rFonts w:asciiTheme="majorEastAsia" w:hAnsiTheme="majorEastAsia" w:eastAsiaTheme="majorEastAsia" w:cstheme="majorEastAsia"/>
        </w:rPr>
      </w:pPr>
      <w:bookmarkStart w:id="1" w:name="_GoBack"/>
      <w:bookmarkEnd w:id="1"/>
    </w:p>
    <w:p>
      <w:pPr>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编号：2025-Q103</w:t>
      </w:r>
    </w:p>
    <w:p>
      <w:pPr>
        <w:jc w:val="center"/>
        <w:rPr>
          <w:rFonts w:asciiTheme="majorEastAsia" w:hAnsiTheme="majorEastAsia" w:eastAsiaTheme="majorEastAsia" w:cstheme="majorEastAsia"/>
          <w:b/>
          <w:sz w:val="32"/>
          <w:szCs w:val="32"/>
        </w:rPr>
      </w:pPr>
    </w:p>
    <w:p>
      <w:pPr>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四川省南宝山服饰有限公司</w:t>
      </w:r>
    </w:p>
    <w:p>
      <w:pPr>
        <w:ind w:firstLine="3054" w:firstLineChars="845"/>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2025年10月</w:t>
      </w:r>
    </w:p>
    <w:p>
      <w:pPr>
        <w:rPr>
          <w:rFonts w:asciiTheme="majorEastAsia" w:hAnsiTheme="majorEastAsia" w:eastAsiaTheme="majorEastAsia" w:cstheme="majorEastAsia"/>
          <w:b/>
          <w:color w:val="000000"/>
        </w:rPr>
      </w:pPr>
      <w:r>
        <w:rPr>
          <w:rFonts w:hint="eastAsia" w:asciiTheme="majorEastAsia" w:hAnsiTheme="majorEastAsia" w:eastAsiaTheme="majorEastAsia" w:cstheme="majorEastAsia"/>
          <w:b/>
          <w:color w:val="000000"/>
        </w:rPr>
        <w:br w:type="page"/>
      </w:r>
    </w:p>
    <w:p>
      <w:pPr>
        <w:rPr>
          <w:rFonts w:asciiTheme="majorEastAsia" w:hAnsiTheme="majorEastAsia" w:eastAsiaTheme="majorEastAsia" w:cstheme="majorEastAsia"/>
          <w:b/>
          <w:color w:val="000000"/>
        </w:rPr>
      </w:pPr>
    </w:p>
    <w:p>
      <w:pPr>
        <w:spacing w:line="800" w:lineRule="exact"/>
        <w:jc w:val="center"/>
        <w:rPr>
          <w:rFonts w:asciiTheme="majorEastAsia" w:hAnsiTheme="majorEastAsia" w:eastAsiaTheme="majorEastAsia" w:cstheme="majorEastAsia"/>
          <w:snapToGrid w:val="0"/>
          <w:sz w:val="36"/>
        </w:rPr>
      </w:pPr>
      <w:bookmarkStart w:id="0" w:name="_Toc227144287"/>
    </w:p>
    <w:bookmarkEnd w:id="0"/>
    <w:p>
      <w:pPr>
        <w:spacing w:line="800" w:lineRule="exact"/>
        <w:jc w:val="center"/>
        <w:rPr>
          <w:rFonts w:asciiTheme="majorEastAsia" w:hAnsiTheme="majorEastAsia" w:eastAsiaTheme="majorEastAsia" w:cstheme="majorEastAsia"/>
          <w:b/>
          <w:snapToGrid w:val="0"/>
          <w:sz w:val="44"/>
          <w:szCs w:val="44"/>
        </w:rPr>
      </w:pPr>
      <w:r>
        <w:rPr>
          <w:rFonts w:hint="eastAsia" w:asciiTheme="majorEastAsia" w:hAnsiTheme="majorEastAsia" w:eastAsiaTheme="majorEastAsia" w:cstheme="majorEastAsia"/>
          <w:b/>
          <w:snapToGrid w:val="0"/>
          <w:sz w:val="44"/>
          <w:szCs w:val="44"/>
        </w:rPr>
        <w:t>目   录</w:t>
      </w:r>
    </w:p>
    <w:p>
      <w:pPr>
        <w:spacing w:line="800" w:lineRule="exact"/>
        <w:rPr>
          <w:rFonts w:asciiTheme="majorEastAsia" w:hAnsiTheme="majorEastAsia" w:eastAsiaTheme="majorEastAsia" w:cstheme="majorEastAsia"/>
          <w:snapToGrid w:val="0"/>
          <w:sz w:val="36"/>
        </w:rPr>
      </w:pPr>
    </w:p>
    <w:p>
      <w:pPr>
        <w:snapToGrid w:val="0"/>
        <w:spacing w:line="480" w:lineRule="auto"/>
        <w:ind w:firstLine="2240" w:firstLineChars="700"/>
        <w:rPr>
          <w:rFonts w:asciiTheme="majorEastAsia" w:hAnsiTheme="majorEastAsia" w:eastAsiaTheme="majorEastAsia" w:cstheme="majorEastAsia"/>
          <w:snapToGrid w:val="0"/>
          <w:sz w:val="32"/>
          <w:szCs w:val="32"/>
        </w:rPr>
      </w:pPr>
      <w:r>
        <w:rPr>
          <w:rFonts w:hint="eastAsia" w:asciiTheme="majorEastAsia" w:hAnsiTheme="majorEastAsia" w:eastAsiaTheme="majorEastAsia" w:cstheme="majorEastAsia"/>
          <w:snapToGrid w:val="0"/>
          <w:sz w:val="32"/>
          <w:szCs w:val="32"/>
        </w:rPr>
        <w:t>第一部分   谈判邀请（公告）</w:t>
      </w:r>
    </w:p>
    <w:p>
      <w:pPr>
        <w:snapToGrid w:val="0"/>
        <w:spacing w:line="480" w:lineRule="auto"/>
        <w:ind w:firstLine="2240" w:firstLineChars="700"/>
        <w:rPr>
          <w:rFonts w:asciiTheme="majorEastAsia" w:hAnsiTheme="majorEastAsia" w:eastAsiaTheme="majorEastAsia" w:cstheme="majorEastAsia"/>
          <w:snapToGrid w:val="0"/>
          <w:sz w:val="32"/>
          <w:szCs w:val="32"/>
        </w:rPr>
      </w:pPr>
      <w:r>
        <w:rPr>
          <w:rFonts w:hint="eastAsia" w:asciiTheme="majorEastAsia" w:hAnsiTheme="majorEastAsia" w:eastAsiaTheme="majorEastAsia" w:cstheme="majorEastAsia"/>
          <w:snapToGrid w:val="0"/>
          <w:sz w:val="32"/>
          <w:szCs w:val="32"/>
        </w:rPr>
        <w:t>第二部分   谈判须知</w:t>
      </w:r>
    </w:p>
    <w:p>
      <w:pPr>
        <w:snapToGrid w:val="0"/>
        <w:spacing w:line="480" w:lineRule="auto"/>
        <w:ind w:firstLine="2240" w:firstLineChars="700"/>
        <w:rPr>
          <w:rFonts w:asciiTheme="majorEastAsia" w:hAnsiTheme="majorEastAsia" w:eastAsiaTheme="majorEastAsia" w:cstheme="majorEastAsia"/>
          <w:snapToGrid w:val="0"/>
          <w:sz w:val="32"/>
          <w:szCs w:val="32"/>
        </w:rPr>
      </w:pPr>
      <w:r>
        <w:rPr>
          <w:rFonts w:hint="eastAsia" w:asciiTheme="majorEastAsia" w:hAnsiTheme="majorEastAsia" w:eastAsiaTheme="majorEastAsia" w:cstheme="majorEastAsia"/>
          <w:snapToGrid w:val="0"/>
          <w:sz w:val="32"/>
          <w:szCs w:val="32"/>
        </w:rPr>
        <w:t>第三部分   报价文件格式</w:t>
      </w:r>
    </w:p>
    <w:p>
      <w:pPr>
        <w:snapToGrid w:val="0"/>
        <w:spacing w:line="760" w:lineRule="exact"/>
        <w:rPr>
          <w:rFonts w:asciiTheme="majorEastAsia" w:hAnsiTheme="majorEastAsia" w:eastAsiaTheme="majorEastAsia" w:cstheme="majorEastAsia"/>
          <w:snapToGrid w:val="0"/>
          <w:sz w:val="32"/>
          <w:szCs w:val="32"/>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rPr>
          <w:rFonts w:asciiTheme="majorEastAsia" w:hAnsiTheme="majorEastAsia" w:eastAsiaTheme="majorEastAsia" w:cstheme="majorEastAsia"/>
          <w:snapToGrid w:val="0"/>
          <w:sz w:val="36"/>
        </w:rPr>
      </w:pPr>
    </w:p>
    <w:p>
      <w:pPr>
        <w:snapToGrid w:val="0"/>
        <w:rPr>
          <w:rFonts w:asciiTheme="majorEastAsia" w:hAnsiTheme="majorEastAsia" w:eastAsiaTheme="majorEastAsia" w:cstheme="majorEastAsia"/>
          <w:snapToGrid w:val="0"/>
          <w:sz w:val="36"/>
        </w:rPr>
      </w:pPr>
    </w:p>
    <w:p>
      <w:pPr>
        <w:spacing w:line="360" w:lineRule="auto"/>
        <w:ind w:firstLine="1988" w:firstLineChars="450"/>
        <w:rPr>
          <w:rFonts w:asciiTheme="majorEastAsia" w:hAnsiTheme="majorEastAsia" w:eastAsiaTheme="majorEastAsia" w:cstheme="majorEastAsia"/>
          <w:b/>
          <w:snapToGrid w:val="0"/>
          <w:sz w:val="44"/>
          <w:szCs w:val="44"/>
        </w:rPr>
      </w:pPr>
    </w:p>
    <w:p>
      <w:pPr>
        <w:spacing w:line="360" w:lineRule="auto"/>
        <w:ind w:firstLine="1988" w:firstLineChars="450"/>
        <w:rPr>
          <w:rFonts w:asciiTheme="majorEastAsia" w:hAnsiTheme="majorEastAsia" w:eastAsiaTheme="majorEastAsia" w:cstheme="majorEastAsia"/>
          <w:b/>
          <w:snapToGrid w:val="0"/>
          <w:sz w:val="44"/>
          <w:szCs w:val="44"/>
        </w:rPr>
      </w:pPr>
      <w:r>
        <w:rPr>
          <w:rFonts w:hint="eastAsia" w:asciiTheme="majorEastAsia" w:hAnsiTheme="majorEastAsia" w:eastAsiaTheme="majorEastAsia" w:cstheme="majorEastAsia"/>
          <w:b/>
          <w:snapToGrid w:val="0"/>
          <w:sz w:val="44"/>
          <w:szCs w:val="44"/>
        </w:rPr>
        <w:t>第一部分  谈判邀请（公告）</w:t>
      </w:r>
    </w:p>
    <w:p>
      <w:pPr>
        <w:ind w:right="720" w:firstLine="980" w:firstLineChars="350"/>
        <w:rPr>
          <w:rFonts w:asciiTheme="majorEastAsia" w:hAnsiTheme="majorEastAsia" w:eastAsiaTheme="majorEastAsia" w:cstheme="majorEastAsia"/>
          <w:snapToGrid w:val="0"/>
        </w:rPr>
      </w:pPr>
    </w:p>
    <w:p>
      <w:pPr>
        <w:spacing w:line="520" w:lineRule="exact"/>
        <w:ind w:right="720"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根据相关文件要求，四川省南宝山服饰有限公司拟为甘孜州白玉县盖玉镇打造1个党建引领法治示范村和1个基层法治党建工作站。现通过竞争性谈判的形式，邀请有资质的供应商参与谈判。</w:t>
      </w:r>
    </w:p>
    <w:p>
      <w:pPr>
        <w:numPr>
          <w:ilvl w:val="0"/>
          <w:numId w:val="1"/>
        </w:numPr>
        <w:adjustRightInd w:val="0"/>
        <w:spacing w:line="520" w:lineRule="exact"/>
        <w:ind w:right="720" w:firstLine="560" w:firstLineChars="200"/>
        <w:textAlignment w:val="baseline"/>
        <w:rPr>
          <w:rFonts w:asciiTheme="minorEastAsia" w:hAnsiTheme="minorEastAsia" w:eastAsiaTheme="minorEastAsia" w:cstheme="minorEastAsia"/>
          <w:bCs/>
          <w:kern w:val="0"/>
        </w:rPr>
      </w:pPr>
      <w:r>
        <w:rPr>
          <w:rFonts w:hint="eastAsia" w:asciiTheme="majorEastAsia" w:hAnsiTheme="majorEastAsia" w:eastAsiaTheme="majorEastAsia" w:cstheme="majorEastAsia"/>
        </w:rPr>
        <w:t>项目名称：</w:t>
      </w:r>
      <w:r>
        <w:rPr>
          <w:rFonts w:hint="eastAsia" w:asciiTheme="minorEastAsia" w:hAnsiTheme="minorEastAsia" w:eastAsiaTheme="minorEastAsia" w:cstheme="minorEastAsia"/>
          <w:bCs/>
          <w:kern w:val="0"/>
        </w:rPr>
        <w:t>四川省南宝山服饰有限公司白玉县盖玉镇打造党建引领法治示范村和基层法治党建工作站采购</w:t>
      </w:r>
    </w:p>
    <w:p>
      <w:pPr>
        <w:numPr>
          <w:ilvl w:val="0"/>
          <w:numId w:val="1"/>
        </w:numPr>
        <w:adjustRightInd w:val="0"/>
        <w:spacing w:line="520" w:lineRule="exact"/>
        <w:ind w:right="720" w:firstLine="560" w:firstLineChars="200"/>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采购方式：竞争性谈判</w:t>
      </w:r>
    </w:p>
    <w:p>
      <w:pPr>
        <w:spacing w:line="520" w:lineRule="exact"/>
        <w:ind w:right="720"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三、评选方式：按预算金额，资质符合，价格最低者中选。谈判供应商数量：至少3家符合资质的供应商。</w:t>
      </w:r>
    </w:p>
    <w:p>
      <w:pPr>
        <w:spacing w:line="520" w:lineRule="exact"/>
        <w:ind w:right="720" w:firstLine="700" w:firstLineChars="250"/>
        <w:rPr>
          <w:rFonts w:asciiTheme="majorEastAsia" w:hAnsiTheme="majorEastAsia" w:eastAsiaTheme="majorEastAsia" w:cstheme="majorEastAsia"/>
        </w:rPr>
      </w:pPr>
      <w:r>
        <w:rPr>
          <w:rFonts w:hint="eastAsia" w:asciiTheme="majorEastAsia" w:hAnsiTheme="majorEastAsia" w:eastAsiaTheme="majorEastAsia" w:cstheme="majorEastAsia"/>
        </w:rPr>
        <w:t>四、预算金额：49000.00元。投标报价不得高于预算金额，否则为废标。本次项目为二次报价，以第二次报价为最终报价。</w:t>
      </w:r>
    </w:p>
    <w:p>
      <w:pPr>
        <w:spacing w:line="520" w:lineRule="exact"/>
        <w:ind w:firstLine="700" w:firstLineChars="250"/>
        <w:rPr>
          <w:rFonts w:asciiTheme="majorEastAsia" w:hAnsiTheme="majorEastAsia" w:eastAsiaTheme="majorEastAsia" w:cstheme="majorEastAsia"/>
        </w:rPr>
      </w:pPr>
      <w:r>
        <w:rPr>
          <w:rFonts w:hint="eastAsia" w:asciiTheme="majorEastAsia" w:hAnsiTheme="majorEastAsia" w:eastAsiaTheme="majorEastAsia" w:cstheme="majorEastAsia"/>
        </w:rPr>
        <w:t>六、投标资质：</w:t>
      </w:r>
    </w:p>
    <w:p>
      <w:pPr>
        <w:spacing w:line="520" w:lineRule="exact"/>
        <w:ind w:firstLine="560" w:firstLineChars="200"/>
        <w:rPr>
          <w:rFonts w:asciiTheme="majorEastAsia" w:hAnsiTheme="majorEastAsia" w:eastAsiaTheme="majorEastAsia" w:cstheme="majorEastAsia"/>
          <w:color w:val="FF0000"/>
        </w:rPr>
      </w:pPr>
      <w:r>
        <w:rPr>
          <w:rFonts w:hint="eastAsia" w:asciiTheme="majorEastAsia" w:hAnsiTheme="majorEastAsia" w:eastAsiaTheme="majorEastAsia" w:cstheme="majorEastAsia"/>
          <w:color w:val="FF0000"/>
        </w:rPr>
        <w:t>1、在中华人民共和国境内注册，具有独立承担民事责任能力的企业法人,近三年内无违法违纪记录（承诺函）；</w:t>
      </w:r>
    </w:p>
    <w:p>
      <w:pPr>
        <w:pStyle w:val="2"/>
        <w:spacing w:line="520" w:lineRule="exact"/>
        <w:rPr>
          <w:rFonts w:eastAsiaTheme="majorEastAsia"/>
          <w:color w:val="FF0000"/>
        </w:rPr>
      </w:pPr>
      <w:r>
        <w:rPr>
          <w:rFonts w:hint="eastAsia" w:asciiTheme="majorEastAsia" w:hAnsiTheme="majorEastAsia" w:eastAsiaTheme="majorEastAsia" w:cstheme="majorEastAsia"/>
          <w:color w:val="FF0000"/>
        </w:rPr>
        <w:t xml:space="preserve">    2、具有良好商业信誉和健全的财务会计制度（承诺函）；</w:t>
      </w:r>
    </w:p>
    <w:p>
      <w:pPr>
        <w:pStyle w:val="2"/>
        <w:widowControl/>
        <w:kinsoku w:val="0"/>
        <w:autoSpaceDE w:val="0"/>
        <w:autoSpaceDN w:val="0"/>
        <w:adjustRightInd w:val="0"/>
        <w:snapToGrid w:val="0"/>
        <w:spacing w:line="520" w:lineRule="exact"/>
        <w:ind w:firstLine="560" w:firstLineChars="200"/>
        <w:textAlignment w:val="baseline"/>
        <w:rPr>
          <w:color w:val="FF0000"/>
          <w:sz w:val="32"/>
          <w:szCs w:val="32"/>
        </w:rPr>
      </w:pPr>
      <w:r>
        <w:rPr>
          <w:rFonts w:hint="eastAsia"/>
          <w:color w:val="FF0000"/>
        </w:rPr>
        <w:t>3、具有履行合同所必须的设备和专业技术能力</w:t>
      </w:r>
      <w:r>
        <w:rPr>
          <w:color w:val="FF0000"/>
          <w:sz w:val="32"/>
          <w:szCs w:val="32"/>
        </w:rPr>
        <w:t>；</w:t>
      </w:r>
    </w:p>
    <w:p>
      <w:pPr>
        <w:spacing w:line="520" w:lineRule="exact"/>
        <w:ind w:firstLine="560" w:firstLineChars="200"/>
        <w:rPr>
          <w:rFonts w:asciiTheme="majorEastAsia" w:hAnsiTheme="majorEastAsia" w:eastAsiaTheme="majorEastAsia" w:cstheme="majorEastAsia"/>
          <w:color w:val="FF0000"/>
        </w:rPr>
      </w:pPr>
      <w:r>
        <w:rPr>
          <w:rFonts w:hint="eastAsia" w:asciiTheme="majorEastAsia" w:hAnsiTheme="majorEastAsia" w:eastAsiaTheme="majorEastAsia" w:cstheme="majorEastAsia"/>
          <w:color w:val="FF0000"/>
        </w:rPr>
        <w:t>4、</w:t>
      </w:r>
      <w:r>
        <w:rPr>
          <w:rFonts w:asciiTheme="majorEastAsia" w:hAnsiTheme="majorEastAsia" w:eastAsiaTheme="majorEastAsia" w:cstheme="majorEastAsia"/>
          <w:color w:val="FF0000"/>
        </w:rPr>
        <w:t xml:space="preserve"> 本项目不接受联合体参与报价。</w:t>
      </w:r>
    </w:p>
    <w:p>
      <w:pPr>
        <w:pStyle w:val="3"/>
        <w:spacing w:line="520" w:lineRule="exact"/>
        <w:ind w:firstLine="560" w:firstLineChars="200"/>
        <w:rPr>
          <w:color w:val="FF0000"/>
        </w:rPr>
      </w:pPr>
      <w:r>
        <w:rPr>
          <w:rFonts w:hint="eastAsia"/>
          <w:color w:val="FF0000"/>
        </w:rPr>
        <w:t>5、法律、行政法规规定的其他条件。</w:t>
      </w:r>
    </w:p>
    <w:p>
      <w:pPr>
        <w:spacing w:line="520" w:lineRule="exact"/>
        <w:ind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七、投标规定：</w:t>
      </w:r>
    </w:p>
    <w:p>
      <w:pPr>
        <w:spacing w:line="520" w:lineRule="exact"/>
        <w:ind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1、谈判地点：</w:t>
      </w:r>
      <w:r>
        <w:rPr>
          <w:rFonts w:hint="eastAsia" w:asciiTheme="majorEastAsia" w:hAnsiTheme="majorEastAsia" w:eastAsiaTheme="majorEastAsia" w:cstheme="majorEastAsia"/>
          <w:color w:val="FF0000"/>
        </w:rPr>
        <w:t>邛崃市临邛镇大东街669号生产工作洽谈室</w:t>
      </w:r>
      <w:r>
        <w:rPr>
          <w:rFonts w:hint="eastAsia" w:asciiTheme="majorEastAsia" w:hAnsiTheme="majorEastAsia" w:eastAsiaTheme="majorEastAsia" w:cstheme="majorEastAsia"/>
        </w:rPr>
        <w:t>。</w:t>
      </w:r>
    </w:p>
    <w:p>
      <w:pPr>
        <w:pStyle w:val="8"/>
        <w:spacing w:line="520" w:lineRule="exact"/>
        <w:ind w:firstLine="56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rPr>
        <w:t>2．授权代表（可由法人代表担任）须准时到会，出示身份证原件并签名以示出席，否则，其投标将被拒绝；</w:t>
      </w:r>
    </w:p>
    <w:p>
      <w:pPr>
        <w:pStyle w:val="8"/>
        <w:spacing w:line="520" w:lineRule="exact"/>
        <w:ind w:firstLine="560" w:firstLineChars="200"/>
        <w:rPr>
          <w:rFonts w:asciiTheme="majorEastAsia" w:hAnsiTheme="majorEastAsia" w:eastAsiaTheme="majorEastAsia" w:cstheme="majorEastAsia"/>
          <w:lang w:val="zh-CN"/>
        </w:rPr>
      </w:pP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val="zh-CN"/>
        </w:rPr>
        <w:t>.谈判谈判响应文件份数：正本壹份。</w:t>
      </w:r>
    </w:p>
    <w:p>
      <w:pPr>
        <w:pStyle w:val="8"/>
        <w:spacing w:line="520" w:lineRule="exact"/>
        <w:ind w:firstLine="560" w:firstLineChars="200"/>
        <w:rPr>
          <w:rFonts w:asciiTheme="majorEastAsia" w:hAnsiTheme="majorEastAsia" w:eastAsiaTheme="majorEastAsia" w:cstheme="majorEastAsia"/>
          <w:lang w:val="zh-CN"/>
        </w:rPr>
      </w:pPr>
      <w:r>
        <w:rPr>
          <w:rFonts w:hint="eastAsia" w:asciiTheme="majorEastAsia" w:hAnsiTheme="majorEastAsia" w:eastAsiaTheme="majorEastAsia" w:cstheme="majorEastAsia"/>
          <w:lang w:val="zh-CN"/>
        </w:rPr>
        <w:t>八、</w:t>
      </w:r>
      <w:r>
        <w:rPr>
          <w:rFonts w:hint="eastAsia" w:asciiTheme="majorEastAsia" w:hAnsiTheme="majorEastAsia" w:eastAsiaTheme="majorEastAsia" w:cstheme="majorEastAsia"/>
          <w:color w:val="FF0000"/>
          <w:lang w:val="zh-CN"/>
        </w:rPr>
        <w:t>谈判</w:t>
      </w:r>
      <w:r>
        <w:rPr>
          <w:rFonts w:hint="eastAsia" w:asciiTheme="majorEastAsia" w:hAnsiTheme="majorEastAsia" w:eastAsiaTheme="majorEastAsia" w:cstheme="majorEastAsia"/>
          <w:color w:val="FF0000"/>
        </w:rPr>
        <w:t>邀请</w:t>
      </w:r>
    </w:p>
    <w:tbl>
      <w:tblPr>
        <w:tblStyle w:val="9"/>
        <w:tblW w:w="896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84"/>
        <w:gridCol w:w="62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684"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采购项目名称</w:t>
            </w:r>
          </w:p>
        </w:tc>
        <w:tc>
          <w:tcPr>
            <w:tcW w:w="6283" w:type="dxa"/>
            <w:noWrap/>
            <w:tcMar>
              <w:top w:w="36" w:type="dxa"/>
              <w:left w:w="36" w:type="dxa"/>
              <w:bottom w:w="36" w:type="dxa"/>
              <w:right w:w="36" w:type="dxa"/>
            </w:tcMar>
            <w:vAlign w:val="bottom"/>
          </w:tcPr>
          <w:p>
            <w:pPr>
              <w:adjustRightInd w:val="0"/>
              <w:spacing w:line="520" w:lineRule="exact"/>
              <w:ind w:right="720"/>
              <w:textAlignment w:val="baseline"/>
              <w:rPr>
                <w:rFonts w:asciiTheme="majorEastAsia" w:hAnsiTheme="majorEastAsia" w:eastAsiaTheme="minorEastAsia" w:cstheme="majorEastAsia"/>
              </w:rPr>
            </w:pPr>
            <w:r>
              <w:rPr>
                <w:rFonts w:hint="eastAsia" w:asciiTheme="minorEastAsia" w:hAnsiTheme="minorEastAsia" w:eastAsiaTheme="minorEastAsia" w:cstheme="minorEastAsia"/>
                <w:bCs/>
                <w:kern w:val="0"/>
              </w:rPr>
              <w:t>四川省南宝山服饰有限公司白玉县盖玉镇打造党建引领法治示范村和基层法治党建工作站采购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684"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采购单位</w:t>
            </w:r>
          </w:p>
        </w:tc>
        <w:tc>
          <w:tcPr>
            <w:tcW w:w="6283"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四川省南宝山服饰有限公司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684"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获取谈判文件方式</w:t>
            </w:r>
          </w:p>
        </w:tc>
        <w:tc>
          <w:tcPr>
            <w:tcW w:w="6283"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四川省邛崃监狱工作要闻栏目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684"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获取谈判文件时间</w:t>
            </w:r>
          </w:p>
        </w:tc>
        <w:tc>
          <w:tcPr>
            <w:tcW w:w="6283"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2025年</w:t>
            </w:r>
            <w:r>
              <w:rPr>
                <w:rFonts w:hint="eastAsia" w:asciiTheme="majorEastAsia" w:hAnsiTheme="majorEastAsia" w:eastAsiaTheme="majorEastAsia" w:cstheme="majorEastAsia"/>
                <w:bCs/>
                <w:szCs w:val="24"/>
                <w:lang w:val="en-US" w:eastAsia="zh-CN"/>
              </w:rPr>
              <w:t>10</w:t>
            </w:r>
            <w:r>
              <w:rPr>
                <w:rFonts w:hint="eastAsia" w:asciiTheme="majorEastAsia" w:hAnsiTheme="majorEastAsia" w:eastAsiaTheme="majorEastAsia" w:cstheme="majorEastAsia"/>
                <w:bCs/>
                <w:szCs w:val="24"/>
              </w:rPr>
              <w:t>月</w:t>
            </w:r>
            <w:r>
              <w:rPr>
                <w:rFonts w:hint="eastAsia" w:asciiTheme="majorEastAsia" w:hAnsiTheme="majorEastAsia" w:eastAsiaTheme="majorEastAsia" w:cstheme="majorEastAsia"/>
                <w:bCs/>
                <w:szCs w:val="24"/>
                <w:lang w:val="en-US" w:eastAsia="zh-CN"/>
              </w:rPr>
              <w:t>29</w:t>
            </w:r>
            <w:r>
              <w:rPr>
                <w:rFonts w:hint="eastAsia" w:asciiTheme="majorEastAsia" w:hAnsiTheme="majorEastAsia" w:eastAsiaTheme="majorEastAsia" w:cstheme="majorEastAsia"/>
                <w:bCs/>
                <w:szCs w:val="24"/>
              </w:rPr>
              <w:t>日——2025年</w:t>
            </w:r>
            <w:r>
              <w:rPr>
                <w:rFonts w:hint="eastAsia" w:asciiTheme="majorEastAsia" w:hAnsiTheme="majorEastAsia" w:eastAsiaTheme="majorEastAsia" w:cstheme="majorEastAsia"/>
                <w:bCs/>
                <w:szCs w:val="24"/>
                <w:lang w:val="en-US" w:eastAsia="zh-CN"/>
              </w:rPr>
              <w:t>10</w:t>
            </w:r>
            <w:r>
              <w:rPr>
                <w:rFonts w:hint="eastAsia" w:asciiTheme="majorEastAsia" w:hAnsiTheme="majorEastAsia" w:eastAsiaTheme="majorEastAsia" w:cstheme="majorEastAsia"/>
                <w:bCs/>
                <w:szCs w:val="24"/>
              </w:rPr>
              <w:t>月</w:t>
            </w:r>
            <w:r>
              <w:rPr>
                <w:rFonts w:hint="eastAsia" w:asciiTheme="majorEastAsia" w:hAnsiTheme="majorEastAsia" w:eastAsiaTheme="majorEastAsia" w:cstheme="majorEastAsia"/>
                <w:bCs/>
                <w:szCs w:val="24"/>
                <w:lang w:val="en-US" w:eastAsia="zh-CN"/>
              </w:rPr>
              <w:t>31</w:t>
            </w:r>
            <w:r>
              <w:rPr>
                <w:rFonts w:hint="eastAsia" w:asciiTheme="majorEastAsia" w:hAnsiTheme="majorEastAsia" w:eastAsiaTheme="majorEastAsia" w:cstheme="majorEastAsia"/>
                <w:bCs/>
                <w:szCs w:val="24"/>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684"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获取谈判文件地点</w:t>
            </w:r>
          </w:p>
        </w:tc>
        <w:tc>
          <w:tcPr>
            <w:tcW w:w="6283"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四川省南宝山服饰有限公司办公室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684"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响应文件递交地点</w:t>
            </w:r>
          </w:p>
        </w:tc>
        <w:tc>
          <w:tcPr>
            <w:tcW w:w="6283"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四川省南宝山服饰有限公司生产工作洽谈室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684"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响应文件开启时间</w:t>
            </w:r>
          </w:p>
        </w:tc>
        <w:tc>
          <w:tcPr>
            <w:tcW w:w="6283"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2025年</w:t>
            </w:r>
            <w:r>
              <w:rPr>
                <w:rFonts w:hint="eastAsia" w:asciiTheme="majorEastAsia" w:hAnsiTheme="majorEastAsia" w:eastAsiaTheme="majorEastAsia" w:cstheme="majorEastAsia"/>
                <w:bCs/>
                <w:szCs w:val="24"/>
                <w:lang w:val="en-US" w:eastAsia="zh-CN"/>
              </w:rPr>
              <w:t>11</w:t>
            </w:r>
            <w:r>
              <w:rPr>
                <w:rFonts w:hint="eastAsia" w:asciiTheme="majorEastAsia" w:hAnsiTheme="majorEastAsia" w:eastAsiaTheme="majorEastAsia" w:cstheme="majorEastAsia"/>
                <w:bCs/>
                <w:szCs w:val="24"/>
              </w:rPr>
              <w:t>月</w:t>
            </w:r>
            <w:r>
              <w:rPr>
                <w:rFonts w:hint="eastAsia" w:asciiTheme="majorEastAsia" w:hAnsiTheme="majorEastAsia" w:eastAsiaTheme="majorEastAsia" w:cstheme="majorEastAsia"/>
                <w:bCs/>
                <w:szCs w:val="24"/>
                <w:lang w:val="en-US" w:eastAsia="zh-CN"/>
              </w:rPr>
              <w:t>3</w:t>
            </w:r>
            <w:r>
              <w:rPr>
                <w:rFonts w:hint="eastAsia" w:asciiTheme="majorEastAsia" w:hAnsiTheme="majorEastAsia" w:eastAsiaTheme="majorEastAsia" w:cstheme="majorEastAsia"/>
                <w:bCs/>
                <w:szCs w:val="24"/>
              </w:rPr>
              <w:t>日</w:t>
            </w:r>
            <w:r>
              <w:rPr>
                <w:rFonts w:hint="eastAsia" w:asciiTheme="majorEastAsia" w:hAnsiTheme="majorEastAsia" w:eastAsiaTheme="majorEastAsia" w:cstheme="majorEastAsia"/>
                <w:bCs/>
                <w:szCs w:val="24"/>
                <w:lang w:val="en-US" w:eastAsia="zh-CN"/>
              </w:rPr>
              <w:t>9</w:t>
            </w:r>
            <w:r>
              <w:rPr>
                <w:rFonts w:hint="eastAsia" w:asciiTheme="majorEastAsia" w:hAnsiTheme="majorEastAsia" w:eastAsiaTheme="majorEastAsia" w:cstheme="majorEastAsia"/>
                <w:bCs/>
                <w:szCs w:val="24"/>
              </w:rPr>
              <w:t>:30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684"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响应文件开启地点</w:t>
            </w:r>
          </w:p>
        </w:tc>
        <w:tc>
          <w:tcPr>
            <w:tcW w:w="6283"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四川省南宝山服饰有限公司生产工作洽谈室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8967" w:type="dxa"/>
            <w:gridSpan w:val="2"/>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联系人及联系方式：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684"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项目联系单位</w:t>
            </w:r>
          </w:p>
        </w:tc>
        <w:tc>
          <w:tcPr>
            <w:tcW w:w="6283"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公司办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684"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项目联系电话及邮箱</w:t>
            </w:r>
          </w:p>
        </w:tc>
        <w:tc>
          <w:tcPr>
            <w:tcW w:w="6283"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028-88808053，邮箱scsqljy88808053@163.com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684"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采购单位地址</w:t>
            </w:r>
          </w:p>
        </w:tc>
        <w:tc>
          <w:tcPr>
            <w:tcW w:w="6283"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成都市邛崃市临邛镇土陶村</w:t>
            </w:r>
          </w:p>
        </w:tc>
      </w:tr>
    </w:tbl>
    <w:p>
      <w:pPr>
        <w:autoSpaceDE w:val="0"/>
        <w:autoSpaceDN w:val="0"/>
        <w:spacing w:line="520" w:lineRule="exact"/>
        <w:ind w:firstLine="560" w:firstLineChars="200"/>
        <w:rPr>
          <w:rFonts w:asciiTheme="majorEastAsia" w:hAnsiTheme="majorEastAsia" w:eastAsiaTheme="majorEastAsia" w:cstheme="majorEastAsia"/>
          <w:lang w:val="zh-CN"/>
        </w:rPr>
      </w:pPr>
    </w:p>
    <w:p>
      <w:pPr>
        <w:autoSpaceDE w:val="0"/>
        <w:autoSpaceDN w:val="0"/>
        <w:spacing w:line="520" w:lineRule="exact"/>
        <w:ind w:left="5740" w:hanging="5740" w:hangingChars="2050"/>
        <w:rPr>
          <w:rFonts w:asciiTheme="majorEastAsia" w:hAnsiTheme="majorEastAsia" w:eastAsiaTheme="majorEastAsia" w:cstheme="majorEastAsia"/>
        </w:rPr>
      </w:pPr>
      <w:r>
        <w:rPr>
          <w:rFonts w:hint="eastAsia" w:asciiTheme="majorEastAsia" w:hAnsiTheme="majorEastAsia" w:eastAsiaTheme="majorEastAsia" w:cstheme="majorEastAsia"/>
        </w:rPr>
        <w:t xml:space="preserve">                                   四川省南宝山服饰有限公司                  2025年10月</w:t>
      </w:r>
      <w:r>
        <w:rPr>
          <w:rFonts w:hint="eastAsia" w:asciiTheme="majorEastAsia" w:hAnsiTheme="majorEastAsia" w:eastAsiaTheme="majorEastAsia" w:cstheme="majorEastAsia"/>
          <w:lang w:val="en-US" w:eastAsia="zh-CN"/>
        </w:rPr>
        <w:t>28</w:t>
      </w:r>
      <w:r>
        <w:rPr>
          <w:rFonts w:hint="eastAsia" w:asciiTheme="majorEastAsia" w:hAnsiTheme="majorEastAsia" w:eastAsiaTheme="majorEastAsia" w:cstheme="majorEastAsia"/>
        </w:rPr>
        <w:t>日</w:t>
      </w:r>
    </w:p>
    <w:p>
      <w:pPr>
        <w:spacing w:line="520" w:lineRule="exact"/>
        <w:rPr>
          <w:rFonts w:asciiTheme="majorEastAsia" w:hAnsiTheme="majorEastAsia" w:eastAsiaTheme="majorEastAsia" w:cstheme="majorEastAsia"/>
          <w:snapToGrid w:val="0"/>
        </w:rPr>
      </w:pPr>
    </w:p>
    <w:p>
      <w:pPr>
        <w:rPr>
          <w:rFonts w:asciiTheme="majorEastAsia" w:hAnsiTheme="majorEastAsia" w:eastAsiaTheme="majorEastAsia" w:cstheme="majorEastAsia"/>
          <w:b/>
          <w:snapToGrid w:val="0"/>
          <w:sz w:val="44"/>
          <w:szCs w:val="44"/>
        </w:rPr>
      </w:pPr>
      <w:r>
        <w:rPr>
          <w:rFonts w:hint="eastAsia" w:asciiTheme="majorEastAsia" w:hAnsiTheme="majorEastAsia" w:eastAsiaTheme="majorEastAsia" w:cstheme="majorEastAsia"/>
          <w:b/>
          <w:snapToGrid w:val="0"/>
          <w:sz w:val="44"/>
          <w:szCs w:val="44"/>
        </w:rPr>
        <w:br w:type="page"/>
      </w:r>
    </w:p>
    <w:p>
      <w:pPr>
        <w:jc w:val="center"/>
        <w:rPr>
          <w:rFonts w:asciiTheme="majorEastAsia" w:hAnsiTheme="majorEastAsia" w:eastAsiaTheme="majorEastAsia" w:cstheme="majorEastAsia"/>
          <w:b/>
          <w:snapToGrid w:val="0"/>
          <w:sz w:val="44"/>
          <w:szCs w:val="44"/>
        </w:rPr>
      </w:pPr>
      <w:r>
        <w:rPr>
          <w:rFonts w:hint="eastAsia" w:asciiTheme="majorEastAsia" w:hAnsiTheme="majorEastAsia" w:eastAsiaTheme="majorEastAsia" w:cstheme="majorEastAsia"/>
          <w:b/>
          <w:snapToGrid w:val="0"/>
          <w:sz w:val="44"/>
          <w:szCs w:val="44"/>
        </w:rPr>
        <w:t>第二部分  谈判须知</w:t>
      </w:r>
    </w:p>
    <w:p>
      <w:pPr>
        <w:spacing w:line="580" w:lineRule="exact"/>
        <w:ind w:right="720"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一、项目概况</w:t>
      </w:r>
    </w:p>
    <w:p>
      <w:pPr>
        <w:spacing w:line="580" w:lineRule="exact"/>
        <w:ind w:right="720"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四</w:t>
      </w:r>
      <w:r>
        <w:rPr>
          <w:rFonts w:hint="eastAsia" w:asciiTheme="majorEastAsia" w:hAnsiTheme="majorEastAsia" w:eastAsiaTheme="majorEastAsia" w:cstheme="majorEastAsia"/>
          <w:snapToGrid w:val="0"/>
        </w:rPr>
        <w:t>川省</w:t>
      </w:r>
      <w:r>
        <w:rPr>
          <w:rFonts w:hint="eastAsia" w:asciiTheme="majorEastAsia" w:hAnsiTheme="majorEastAsia" w:eastAsiaTheme="majorEastAsia" w:cstheme="majorEastAsia"/>
        </w:rPr>
        <w:t>南宝山服饰有限公司</w:t>
      </w:r>
      <w:r>
        <w:rPr>
          <w:rFonts w:hint="eastAsia" w:asciiTheme="majorEastAsia" w:hAnsiTheme="majorEastAsia" w:eastAsiaTheme="majorEastAsia" w:cstheme="majorEastAsia"/>
          <w:snapToGrid w:val="0"/>
        </w:rPr>
        <w:t>通过谈判确定1家合格的供应商负责</w:t>
      </w:r>
      <w:r>
        <w:rPr>
          <w:rFonts w:hint="eastAsia" w:asciiTheme="majorEastAsia" w:hAnsiTheme="majorEastAsia" w:eastAsiaTheme="majorEastAsia" w:cstheme="majorEastAsia"/>
        </w:rPr>
        <w:t>甘孜州白玉县盖玉镇打造1个党建引领法治示范村和1个基层法治党建工作站项目</w:t>
      </w:r>
      <w:r>
        <w:rPr>
          <w:rFonts w:hint="eastAsia" w:asciiTheme="majorEastAsia" w:hAnsiTheme="majorEastAsia" w:eastAsiaTheme="majorEastAsia" w:cstheme="majorEastAsia"/>
          <w:snapToGrid w:val="0"/>
        </w:rPr>
        <w:t>。本项目实施地点：甘孜州白玉县盖玉镇打乙西村。</w:t>
      </w:r>
    </w:p>
    <w:p>
      <w:pPr>
        <w:pStyle w:val="2"/>
        <w:ind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二、商务条款</w:t>
      </w:r>
    </w:p>
    <w:p>
      <w:pP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（一）采购清单：</w:t>
      </w:r>
    </w:p>
    <w:tbl>
      <w:tblPr>
        <w:tblStyle w:val="9"/>
        <w:tblW w:w="5087" w:type="pct"/>
        <w:tblInd w:w="0" w:type="dxa"/>
        <w:tblLayout w:type="fixed"/>
        <w:tblCellMar>
          <w:top w:w="0" w:type="dxa"/>
          <w:left w:w="108" w:type="dxa"/>
          <w:bottom w:w="0" w:type="dxa"/>
          <w:right w:w="108" w:type="dxa"/>
        </w:tblCellMar>
      </w:tblPr>
      <w:tblGrid>
        <w:gridCol w:w="773"/>
        <w:gridCol w:w="9"/>
        <w:gridCol w:w="479"/>
        <w:gridCol w:w="6"/>
        <w:gridCol w:w="489"/>
        <w:gridCol w:w="6"/>
        <w:gridCol w:w="1742"/>
        <w:gridCol w:w="7"/>
        <w:gridCol w:w="4568"/>
        <w:gridCol w:w="7"/>
        <w:gridCol w:w="1132"/>
      </w:tblGrid>
      <w:tr>
        <w:tblPrEx>
          <w:tblCellMar>
            <w:top w:w="0" w:type="dxa"/>
            <w:left w:w="108" w:type="dxa"/>
            <w:bottom w:w="0" w:type="dxa"/>
            <w:right w:w="108" w:type="dxa"/>
          </w:tblCellMar>
        </w:tblPrEx>
        <w:trPr>
          <w:trHeight w:val="1163"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序号</w:t>
            </w:r>
          </w:p>
        </w:tc>
        <w:tc>
          <w:tcPr>
            <w:tcW w:w="148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打造项目</w:t>
            </w:r>
          </w:p>
        </w:tc>
        <w:tc>
          <w:tcPr>
            <w:tcW w:w="2482" w:type="pct"/>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材料大小及才材质</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数量（个）</w:t>
            </w:r>
          </w:p>
        </w:tc>
      </w:tr>
      <w:tr>
        <w:tblPrEx>
          <w:tblCellMar>
            <w:top w:w="0" w:type="dxa"/>
            <w:left w:w="108" w:type="dxa"/>
            <w:bottom w:w="0" w:type="dxa"/>
            <w:right w:w="108" w:type="dxa"/>
          </w:tblCellMar>
        </w:tblPrEx>
        <w:trPr>
          <w:trHeight w:val="1980" w:hRule="atLeast"/>
        </w:trPr>
        <w:tc>
          <w:tcPr>
            <w:tcW w:w="419" w:type="pct"/>
            <w:tcBorders>
              <w:top w:val="single" w:color="000000" w:sz="4" w:space="0"/>
              <w:left w:val="single" w:color="000000" w:sz="4" w:space="0"/>
              <w:bottom w:val="single" w:color="000000" w:sz="4" w:space="0"/>
              <w:right w:val="nil"/>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1</w:t>
            </w:r>
          </w:p>
        </w:tc>
        <w:tc>
          <w:tcPr>
            <w:tcW w:w="26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党建文化活动室建设</w:t>
            </w:r>
          </w:p>
        </w:tc>
        <w:tc>
          <w:tcPr>
            <w:tcW w:w="2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面装饰元素</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文化展板：设置可更换的展板，用于展示党史知识、党员风采、活动照片等。</w:t>
            </w:r>
          </w:p>
        </w:tc>
        <w:tc>
          <w:tcPr>
            <w:tcW w:w="2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textAlignment w:val="center"/>
              <w:rPr>
                <w:rFonts w:ascii="宋体" w:hAnsi="宋体" w:cs="宋体"/>
                <w:color w:val="000000"/>
                <w:sz w:val="24"/>
                <w:szCs w:val="24"/>
              </w:rPr>
            </w:pPr>
            <w:r>
              <w:rPr>
                <w:rFonts w:hint="eastAsia" w:ascii="宋体" w:hAnsi="宋体" w:cs="宋体"/>
                <w:color w:val="000000"/>
                <w:kern w:val="0"/>
                <w:sz w:val="24"/>
                <w:szCs w:val="24"/>
              </w:rPr>
              <w:t>长：4m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宽：2m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总面积：8㎡</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材质：不锈钢（配套藏式雕花艺术，藏式花边，适配当地藏式风貌，展板标题包含汉文及藏文，背景为当地红色文化及白玉风景）</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1</w:t>
            </w:r>
          </w:p>
        </w:tc>
      </w:tr>
      <w:tr>
        <w:tblPrEx>
          <w:tblCellMar>
            <w:top w:w="0" w:type="dxa"/>
            <w:left w:w="108" w:type="dxa"/>
            <w:bottom w:w="0" w:type="dxa"/>
            <w:right w:w="108" w:type="dxa"/>
          </w:tblCellMar>
        </w:tblPrEx>
        <w:trPr>
          <w:trHeight w:val="1950" w:hRule="atLeast"/>
        </w:trPr>
        <w:tc>
          <w:tcPr>
            <w:tcW w:w="419" w:type="pct"/>
            <w:tcBorders>
              <w:top w:val="single" w:color="000000" w:sz="4" w:space="0"/>
              <w:left w:val="single" w:color="000000" w:sz="4" w:space="0"/>
              <w:bottom w:val="single" w:color="000000" w:sz="4" w:space="0"/>
              <w:right w:val="nil"/>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2</w:t>
            </w:r>
          </w:p>
        </w:tc>
        <w:tc>
          <w:tcPr>
            <w:tcW w:w="26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宋体" w:hAnsi="宋体" w:cs="宋体"/>
                <w:color w:val="000000"/>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宋体" w:hAnsi="宋体" w:cs="宋体"/>
                <w:color w:val="000000"/>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荣誉展示墙：用展柜或挂墙方式，展示各类荣誉奖牌、奖杯。</w:t>
            </w:r>
          </w:p>
        </w:tc>
        <w:tc>
          <w:tcPr>
            <w:tcW w:w="2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textAlignment w:val="center"/>
              <w:rPr>
                <w:rFonts w:ascii="宋体" w:hAnsi="宋体" w:cs="宋体"/>
                <w:color w:val="000000"/>
                <w:sz w:val="24"/>
                <w:szCs w:val="24"/>
              </w:rPr>
            </w:pPr>
            <w:r>
              <w:rPr>
                <w:rFonts w:hint="eastAsia" w:ascii="宋体" w:hAnsi="宋体" w:cs="宋体"/>
                <w:color w:val="000000"/>
                <w:kern w:val="0"/>
                <w:sz w:val="24"/>
                <w:szCs w:val="24"/>
              </w:rPr>
              <w:t>长：2m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宽：1.2m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总面积：2.4㎡</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材质：木材（藏式雕花艺术，藏式花边，适配当地藏式风貌，展柜标题包含汉文及藏文，配合展柜藏式打磨技术及喷漆，颜色适配整体装修风格）</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2</w:t>
            </w:r>
          </w:p>
        </w:tc>
      </w:tr>
      <w:tr>
        <w:tblPrEx>
          <w:tblCellMar>
            <w:top w:w="0" w:type="dxa"/>
            <w:left w:w="108" w:type="dxa"/>
            <w:bottom w:w="0" w:type="dxa"/>
            <w:right w:w="108" w:type="dxa"/>
          </w:tblCellMar>
        </w:tblPrEx>
        <w:trPr>
          <w:trHeight w:val="1575" w:hRule="atLeast"/>
        </w:trPr>
        <w:tc>
          <w:tcPr>
            <w:tcW w:w="419" w:type="pct"/>
            <w:tcBorders>
              <w:top w:val="single" w:color="000000" w:sz="4" w:space="0"/>
              <w:left w:val="single" w:color="000000" w:sz="4" w:space="0"/>
              <w:bottom w:val="single" w:color="000000" w:sz="4" w:space="0"/>
              <w:right w:val="nil"/>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3</w:t>
            </w:r>
          </w:p>
        </w:tc>
        <w:tc>
          <w:tcPr>
            <w:tcW w:w="26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宋体" w:hAnsi="宋体" w:cs="宋体"/>
                <w:color w:val="000000"/>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宋体" w:hAnsi="宋体" w:cs="宋体"/>
                <w:color w:val="000000"/>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主墙面：悬挂标准的党旗、入党誓词。</w:t>
            </w:r>
          </w:p>
        </w:tc>
        <w:tc>
          <w:tcPr>
            <w:tcW w:w="2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textAlignment w:val="center"/>
              <w:rPr>
                <w:rFonts w:ascii="宋体" w:hAnsi="宋体" w:cs="宋体"/>
                <w:color w:val="000000"/>
                <w:sz w:val="24"/>
                <w:szCs w:val="24"/>
              </w:rPr>
            </w:pPr>
            <w:r>
              <w:rPr>
                <w:rFonts w:hint="eastAsia" w:ascii="宋体" w:hAnsi="宋体" w:cs="宋体"/>
                <w:color w:val="000000"/>
                <w:kern w:val="0"/>
                <w:sz w:val="24"/>
                <w:szCs w:val="24"/>
              </w:rPr>
              <w:t>长：4m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宽：2m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总面积：8㎡</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材质：定制复合板（背景颜色红色，字体为黑色，包含运输安装）</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1</w:t>
            </w:r>
          </w:p>
        </w:tc>
      </w:tr>
      <w:tr>
        <w:tblPrEx>
          <w:tblCellMar>
            <w:top w:w="0" w:type="dxa"/>
            <w:left w:w="108" w:type="dxa"/>
            <w:bottom w:w="0" w:type="dxa"/>
            <w:right w:w="108" w:type="dxa"/>
          </w:tblCellMar>
        </w:tblPrEx>
        <w:trPr>
          <w:trHeight w:val="1905" w:hRule="atLeast"/>
        </w:trPr>
        <w:tc>
          <w:tcPr>
            <w:tcW w:w="419" w:type="pct"/>
            <w:tcBorders>
              <w:top w:val="single" w:color="000000" w:sz="4" w:space="0"/>
              <w:left w:val="single" w:color="000000" w:sz="4" w:space="0"/>
              <w:bottom w:val="single" w:color="000000" w:sz="4" w:space="0"/>
              <w:right w:val="nil"/>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4</w:t>
            </w:r>
          </w:p>
        </w:tc>
        <w:tc>
          <w:tcPr>
            <w:tcW w:w="26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宋体" w:hAnsi="宋体" w:cs="宋体"/>
                <w:color w:val="000000"/>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宋体" w:hAnsi="宋体" w:cs="宋体"/>
                <w:color w:val="000000"/>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背景墙：设计"不忘初心、牢记使命"等核心标语，或使用红色文化主题浮雕、壁画。</w:t>
            </w:r>
          </w:p>
        </w:tc>
        <w:tc>
          <w:tcPr>
            <w:tcW w:w="2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textAlignment w:val="center"/>
              <w:rPr>
                <w:rFonts w:ascii="宋体" w:hAnsi="宋体" w:cs="宋体"/>
                <w:color w:val="000000"/>
                <w:sz w:val="24"/>
                <w:szCs w:val="24"/>
              </w:rPr>
            </w:pPr>
            <w:r>
              <w:rPr>
                <w:rFonts w:hint="eastAsia" w:ascii="宋体" w:hAnsi="宋体" w:cs="宋体"/>
                <w:color w:val="000000"/>
                <w:kern w:val="0"/>
                <w:sz w:val="24"/>
                <w:szCs w:val="24"/>
              </w:rPr>
              <w:t>长：2m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宽：1.2m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总面积：2.4㎡</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材质：铁皮（周边包含藏式花边，适配周边装修风格）</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1</w:t>
            </w:r>
          </w:p>
        </w:tc>
      </w:tr>
      <w:tr>
        <w:tblPrEx>
          <w:tblCellMar>
            <w:top w:w="0" w:type="dxa"/>
            <w:left w:w="108" w:type="dxa"/>
            <w:bottom w:w="0" w:type="dxa"/>
            <w:right w:w="108" w:type="dxa"/>
          </w:tblCellMar>
        </w:tblPrEx>
        <w:trPr>
          <w:trHeight w:val="1590" w:hRule="atLeast"/>
        </w:trPr>
        <w:tc>
          <w:tcPr>
            <w:tcW w:w="419" w:type="pct"/>
            <w:tcBorders>
              <w:top w:val="single" w:color="000000" w:sz="4" w:space="0"/>
              <w:left w:val="single" w:color="000000" w:sz="4" w:space="0"/>
              <w:bottom w:val="single" w:color="000000" w:sz="4" w:space="0"/>
              <w:right w:val="nil"/>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5</w:t>
            </w:r>
          </w:p>
        </w:tc>
        <w:tc>
          <w:tcPr>
            <w:tcW w:w="26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宋体" w:hAnsi="宋体" w:cs="宋体"/>
                <w:color w:val="000000"/>
              </w:rPr>
            </w:pPr>
          </w:p>
        </w:tc>
        <w:tc>
          <w:tcPr>
            <w:tcW w:w="2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室内软装与家具</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会议桌</w:t>
            </w:r>
          </w:p>
        </w:tc>
        <w:tc>
          <w:tcPr>
            <w:tcW w:w="2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textAlignment w:val="center"/>
              <w:rPr>
                <w:rFonts w:ascii="宋体" w:hAnsi="宋体" w:cs="宋体"/>
                <w:color w:val="000000"/>
                <w:sz w:val="24"/>
                <w:szCs w:val="24"/>
              </w:rPr>
            </w:pPr>
            <w:r>
              <w:rPr>
                <w:rFonts w:hint="eastAsia" w:ascii="宋体" w:hAnsi="宋体" w:cs="宋体"/>
                <w:color w:val="000000"/>
                <w:kern w:val="0"/>
                <w:sz w:val="24"/>
                <w:szCs w:val="24"/>
              </w:rPr>
              <w:t>长：4m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宽：1.5m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总面积：6㎡</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材质：木材根据现场定制藏式风格会议桌</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3</w:t>
            </w:r>
          </w:p>
        </w:tc>
      </w:tr>
      <w:tr>
        <w:tblPrEx>
          <w:tblCellMar>
            <w:top w:w="0" w:type="dxa"/>
            <w:left w:w="108" w:type="dxa"/>
            <w:bottom w:w="0" w:type="dxa"/>
            <w:right w:w="108" w:type="dxa"/>
          </w:tblCellMar>
        </w:tblPrEx>
        <w:trPr>
          <w:trHeight w:val="765" w:hRule="atLeast"/>
        </w:trPr>
        <w:tc>
          <w:tcPr>
            <w:tcW w:w="419" w:type="pct"/>
            <w:tcBorders>
              <w:top w:val="single" w:color="000000" w:sz="4" w:space="0"/>
              <w:left w:val="single" w:color="000000" w:sz="4" w:space="0"/>
              <w:bottom w:val="single" w:color="000000" w:sz="4" w:space="0"/>
              <w:right w:val="nil"/>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6</w:t>
            </w:r>
          </w:p>
        </w:tc>
        <w:tc>
          <w:tcPr>
            <w:tcW w:w="26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宋体" w:hAnsi="宋体" w:cs="宋体"/>
                <w:color w:val="000000"/>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宋体" w:hAnsi="宋体" w:cs="宋体"/>
                <w:color w:val="000000"/>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会议椅</w:t>
            </w:r>
          </w:p>
        </w:tc>
        <w:tc>
          <w:tcPr>
            <w:tcW w:w="2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000000"/>
                <w:sz w:val="24"/>
                <w:szCs w:val="24"/>
              </w:rPr>
            </w:pPr>
            <w:r>
              <w:rPr>
                <w:rFonts w:hint="eastAsia" w:ascii="宋体" w:hAnsi="宋体" w:cs="宋体"/>
                <w:color w:val="000000"/>
                <w:kern w:val="0"/>
                <w:sz w:val="24"/>
                <w:szCs w:val="24"/>
              </w:rPr>
              <w:t>根据现场定制藏式风格会议椅（杰秋）</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5</w:t>
            </w:r>
          </w:p>
        </w:tc>
      </w:tr>
      <w:tr>
        <w:tblPrEx>
          <w:tblCellMar>
            <w:top w:w="0" w:type="dxa"/>
            <w:left w:w="108" w:type="dxa"/>
            <w:bottom w:w="0" w:type="dxa"/>
            <w:right w:w="108" w:type="dxa"/>
          </w:tblCellMar>
        </w:tblPrEx>
        <w:trPr>
          <w:trHeight w:val="675" w:hRule="atLeast"/>
        </w:trPr>
        <w:tc>
          <w:tcPr>
            <w:tcW w:w="419" w:type="pct"/>
            <w:tcBorders>
              <w:top w:val="single" w:color="000000" w:sz="4" w:space="0"/>
              <w:left w:val="single" w:color="000000" w:sz="4" w:space="0"/>
              <w:bottom w:val="single" w:color="000000" w:sz="4" w:space="0"/>
              <w:right w:val="nil"/>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7</w:t>
            </w:r>
          </w:p>
        </w:tc>
        <w:tc>
          <w:tcPr>
            <w:tcW w:w="26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宋体" w:hAnsi="宋体" w:cs="宋体"/>
                <w:color w:val="000000"/>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宋体" w:hAnsi="宋体" w:cs="宋体"/>
                <w:color w:val="000000"/>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书籍报刊架</w:t>
            </w:r>
          </w:p>
        </w:tc>
        <w:tc>
          <w:tcPr>
            <w:tcW w:w="2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000000"/>
                <w:sz w:val="24"/>
                <w:szCs w:val="24"/>
              </w:rPr>
            </w:pPr>
            <w:r>
              <w:rPr>
                <w:rFonts w:hint="eastAsia" w:ascii="宋体" w:hAnsi="宋体" w:cs="宋体"/>
                <w:color w:val="000000"/>
                <w:kern w:val="0"/>
                <w:sz w:val="24"/>
                <w:szCs w:val="24"/>
              </w:rPr>
              <w:t>周边包含藏式花边，适配周边装修风格</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2</w:t>
            </w:r>
          </w:p>
        </w:tc>
      </w:tr>
      <w:tr>
        <w:tblPrEx>
          <w:tblCellMar>
            <w:top w:w="0" w:type="dxa"/>
            <w:left w:w="108" w:type="dxa"/>
            <w:bottom w:w="0" w:type="dxa"/>
            <w:right w:w="108" w:type="dxa"/>
          </w:tblCellMar>
        </w:tblPrEx>
        <w:trPr>
          <w:trHeight w:val="675" w:hRule="atLeast"/>
        </w:trPr>
        <w:tc>
          <w:tcPr>
            <w:tcW w:w="419" w:type="pct"/>
            <w:tcBorders>
              <w:top w:val="single" w:color="000000" w:sz="4" w:space="0"/>
              <w:left w:val="single" w:color="000000" w:sz="4" w:space="0"/>
              <w:bottom w:val="single" w:color="000000" w:sz="4" w:space="0"/>
              <w:right w:val="nil"/>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8</w:t>
            </w:r>
          </w:p>
        </w:tc>
        <w:tc>
          <w:tcPr>
            <w:tcW w:w="26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0" w:lineRule="atLeast"/>
              <w:jc w:val="center"/>
              <w:rPr>
                <w:rFonts w:ascii="宋体" w:hAnsi="宋体" w:cs="宋体"/>
                <w:color w:val="000000"/>
              </w:rPr>
            </w:pP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灯光</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基础照明：保证整个活动室光线充足、均匀。</w:t>
            </w:r>
          </w:p>
        </w:tc>
        <w:tc>
          <w:tcPr>
            <w:tcW w:w="2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textAlignment w:val="center"/>
              <w:rPr>
                <w:rFonts w:ascii="宋体" w:hAnsi="宋体" w:cs="宋体"/>
                <w:color w:val="000000"/>
                <w:sz w:val="24"/>
                <w:szCs w:val="24"/>
              </w:rPr>
            </w:pPr>
            <w:r>
              <w:rPr>
                <w:rFonts w:hint="eastAsia" w:ascii="宋体" w:hAnsi="宋体" w:cs="宋体"/>
                <w:color w:val="000000"/>
                <w:kern w:val="0"/>
                <w:sz w:val="24"/>
                <w:szCs w:val="24"/>
              </w:rPr>
              <w:t>藏式风格照明灯</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0" w:lineRule="atLeast"/>
              <w:jc w:val="center"/>
              <w:textAlignment w:val="center"/>
              <w:rPr>
                <w:rFonts w:ascii="宋体" w:hAnsi="宋体" w:cs="宋体"/>
                <w:color w:val="000000"/>
              </w:rPr>
            </w:pPr>
            <w:r>
              <w:rPr>
                <w:rFonts w:hint="eastAsia" w:ascii="宋体" w:hAnsi="宋体" w:cs="宋体"/>
                <w:color w:val="000000"/>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trPr>
        <w:tc>
          <w:tcPr>
            <w:tcW w:w="424" w:type="pct"/>
            <w:gridSpan w:val="2"/>
          </w:tcPr>
          <w:p>
            <w:pPr>
              <w:pStyle w:val="3"/>
              <w:ind w:left="108" w:firstLine="280"/>
              <w:rPr>
                <w:rFonts w:hint="eastAsia"/>
              </w:rPr>
            </w:pPr>
            <w:r>
              <w:rPr>
                <w:rFonts w:hint="eastAsia"/>
              </w:rPr>
              <w:t>9</w:t>
            </w:r>
          </w:p>
        </w:tc>
        <w:tc>
          <w:tcPr>
            <w:tcW w:w="260" w:type="pct"/>
            <w:vMerge w:val="restart"/>
          </w:tcPr>
          <w:p>
            <w:pPr>
              <w:widowControl/>
              <w:spacing w:line="0" w:lineRule="atLeast"/>
              <w:jc w:val="center"/>
              <w:textAlignment w:val="center"/>
              <w:rPr>
                <w:rFonts w:hint="eastAsia" w:ascii="宋体" w:hAnsi="宋体" w:cs="宋体"/>
                <w:color w:val="000000"/>
                <w:kern w:val="0"/>
              </w:rPr>
            </w:pPr>
            <w:r>
              <w:rPr>
                <w:rFonts w:hint="eastAsia" w:ascii="宋体" w:hAnsi="宋体" w:cs="宋体"/>
                <w:color w:val="000000"/>
                <w:kern w:val="0"/>
              </w:rPr>
              <w:t xml:space="preserve">  法治文化宣传广场</w:t>
            </w:r>
          </w:p>
        </w:tc>
        <w:tc>
          <w:tcPr>
            <w:tcW w:w="268" w:type="pct"/>
            <w:gridSpan w:val="2"/>
          </w:tcPr>
          <w:p>
            <w:pPr>
              <w:pStyle w:val="3"/>
              <w:spacing w:line="0" w:lineRule="atLeast"/>
              <w:ind w:firstLine="0" w:firstLineChars="0"/>
              <w:jc w:val="center"/>
              <w:textAlignment w:val="center"/>
              <w:rPr>
                <w:rFonts w:hint="eastAsia" w:ascii="宋体" w:hAnsi="宋体" w:cs="宋体"/>
                <w:color w:val="000000"/>
                <w:kern w:val="0"/>
              </w:rPr>
            </w:pPr>
            <w:r>
              <w:rPr>
                <w:rFonts w:hint="eastAsia" w:ascii="宋体" w:hAnsi="宋体" w:cs="宋体"/>
                <w:color w:val="000000"/>
                <w:kern w:val="0"/>
              </w:rPr>
              <w:t>法治宣传栏</w:t>
            </w:r>
          </w:p>
        </w:tc>
        <w:tc>
          <w:tcPr>
            <w:tcW w:w="952" w:type="pct"/>
            <w:gridSpan w:val="3"/>
          </w:tcPr>
          <w:p>
            <w:pPr>
              <w:widowControl/>
              <w:spacing w:line="0" w:lineRule="atLeast"/>
              <w:jc w:val="center"/>
              <w:textAlignment w:val="center"/>
              <w:rPr>
                <w:rFonts w:hint="eastAsia" w:ascii="宋体" w:hAnsi="宋体" w:cs="宋体"/>
                <w:color w:val="000000"/>
                <w:kern w:val="0"/>
              </w:rPr>
            </w:pPr>
          </w:p>
          <w:p>
            <w:pPr>
              <w:widowControl/>
              <w:spacing w:line="0" w:lineRule="atLeast"/>
              <w:jc w:val="center"/>
              <w:textAlignment w:val="center"/>
              <w:rPr>
                <w:rFonts w:hint="eastAsia" w:ascii="宋体" w:hAnsi="宋体" w:cs="宋体"/>
                <w:color w:val="000000"/>
                <w:kern w:val="0"/>
              </w:rPr>
            </w:pPr>
          </w:p>
          <w:p>
            <w:pPr>
              <w:widowControl/>
              <w:spacing w:line="0" w:lineRule="atLeast"/>
              <w:jc w:val="center"/>
              <w:textAlignment w:val="center"/>
              <w:rPr>
                <w:rFonts w:ascii="宋体" w:hAnsi="宋体" w:cs="宋体"/>
                <w:color w:val="000000"/>
                <w:kern w:val="0"/>
              </w:rPr>
            </w:pPr>
            <w:r>
              <w:rPr>
                <w:rFonts w:hint="eastAsia" w:ascii="宋体" w:hAnsi="宋体" w:cs="宋体"/>
                <w:color w:val="000000"/>
                <w:kern w:val="0"/>
              </w:rPr>
              <w:t>法治宣传栏</w:t>
            </w:r>
          </w:p>
          <w:p>
            <w:pPr>
              <w:widowControl/>
              <w:spacing w:line="0" w:lineRule="atLeast"/>
              <w:jc w:val="center"/>
              <w:textAlignment w:val="center"/>
              <w:rPr>
                <w:rFonts w:ascii="宋体" w:hAnsi="宋体" w:cs="宋体"/>
                <w:color w:val="000000"/>
                <w:kern w:val="0"/>
              </w:rPr>
            </w:pPr>
          </w:p>
          <w:p>
            <w:pPr>
              <w:widowControl/>
              <w:spacing w:line="0" w:lineRule="atLeast"/>
              <w:jc w:val="center"/>
              <w:textAlignment w:val="center"/>
              <w:rPr>
                <w:rFonts w:ascii="宋体" w:hAnsi="宋体" w:cs="宋体"/>
                <w:color w:val="000000"/>
                <w:kern w:val="0"/>
              </w:rPr>
            </w:pPr>
          </w:p>
          <w:p>
            <w:pPr>
              <w:pStyle w:val="3"/>
              <w:spacing w:line="0" w:lineRule="atLeast"/>
              <w:ind w:firstLine="0" w:firstLineChars="0"/>
              <w:jc w:val="center"/>
              <w:textAlignment w:val="center"/>
              <w:rPr>
                <w:rFonts w:hint="eastAsia" w:ascii="宋体" w:hAnsi="宋体" w:cs="宋体"/>
                <w:color w:val="000000"/>
                <w:kern w:val="0"/>
              </w:rPr>
            </w:pPr>
          </w:p>
        </w:tc>
        <w:tc>
          <w:tcPr>
            <w:tcW w:w="2482" w:type="pct"/>
            <w:gridSpan w:val="2"/>
            <w:vAlign w:val="center"/>
          </w:tcPr>
          <w:p>
            <w:pPr>
              <w:spacing w:line="0" w:lineRule="atLeas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长：2m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宽：1.2m</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总面积：2.4㎡</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材质：不锈钢（配套藏式雕花艺术，藏式花边，适配当地藏式风貌，宣传栏标题包含汉文及藏文，背景为当地红色文化及白玉风景）</w:t>
            </w:r>
          </w:p>
        </w:tc>
        <w:tc>
          <w:tcPr>
            <w:tcW w:w="614" w:type="pct"/>
            <w:vAlign w:val="center"/>
          </w:tcPr>
          <w:p>
            <w:pPr>
              <w:widowControl/>
              <w:jc w:val="center"/>
              <w:rPr>
                <w:rFonts w:ascii="宋体" w:hAnsi="宋体" w:cs="宋体"/>
                <w:color w:val="000000"/>
                <w:kern w:val="0"/>
                <w:sz w:val="24"/>
                <w:szCs w:val="24"/>
              </w:rPr>
            </w:pPr>
          </w:p>
          <w:p>
            <w:pPr>
              <w:widowControl/>
              <w:jc w:val="center"/>
              <w:rPr>
                <w:rFonts w:ascii="宋体" w:hAnsi="宋体" w:cs="宋体"/>
                <w:color w:val="000000"/>
                <w:kern w:val="0"/>
                <w:sz w:val="24"/>
                <w:szCs w:val="24"/>
              </w:rPr>
            </w:pPr>
          </w:p>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p>
            <w:pPr>
              <w:pStyle w:val="3"/>
              <w:ind w:firstLine="0" w:firstLineChars="0"/>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424" w:type="pct"/>
            <w:gridSpan w:val="2"/>
          </w:tcPr>
          <w:p>
            <w:pPr>
              <w:pStyle w:val="3"/>
              <w:ind w:firstLine="0" w:firstLineChars="0"/>
              <w:rPr>
                <w:rFonts w:hint="eastAsia"/>
              </w:rPr>
            </w:pPr>
            <w:r>
              <w:rPr>
                <w:rFonts w:hint="eastAsia"/>
              </w:rPr>
              <w:t>10</w:t>
            </w:r>
          </w:p>
          <w:p>
            <w:pPr>
              <w:pStyle w:val="3"/>
              <w:ind w:left="108" w:firstLine="280"/>
              <w:rPr>
                <w:rFonts w:hint="eastAsia"/>
              </w:rPr>
            </w:pPr>
          </w:p>
        </w:tc>
        <w:tc>
          <w:tcPr>
            <w:tcW w:w="260" w:type="pct"/>
            <w:vMerge w:val="continue"/>
          </w:tcPr>
          <w:p>
            <w:pPr>
              <w:widowControl/>
              <w:spacing w:line="0" w:lineRule="atLeast"/>
              <w:jc w:val="center"/>
              <w:textAlignment w:val="center"/>
              <w:rPr>
                <w:rFonts w:ascii="宋体" w:hAnsi="宋体" w:cs="宋体"/>
                <w:color w:val="000000"/>
                <w:kern w:val="0"/>
              </w:rPr>
            </w:pPr>
          </w:p>
        </w:tc>
        <w:tc>
          <w:tcPr>
            <w:tcW w:w="268" w:type="pct"/>
            <w:gridSpan w:val="2"/>
          </w:tcPr>
          <w:p>
            <w:pPr>
              <w:pStyle w:val="3"/>
              <w:spacing w:line="0" w:lineRule="atLeast"/>
              <w:ind w:firstLine="0" w:firstLineChars="0"/>
              <w:jc w:val="center"/>
              <w:textAlignment w:val="center"/>
              <w:rPr>
                <w:rFonts w:ascii="宋体" w:hAnsi="宋体" w:cs="宋体"/>
                <w:color w:val="000000"/>
                <w:kern w:val="0"/>
              </w:rPr>
            </w:pPr>
            <w:r>
              <w:rPr>
                <w:rFonts w:hint="eastAsia" w:ascii="宋体" w:hAnsi="宋体" w:cs="宋体"/>
                <w:color w:val="000000"/>
                <w:kern w:val="0"/>
              </w:rPr>
              <w:t>法治文化活动室</w:t>
            </w:r>
          </w:p>
        </w:tc>
        <w:tc>
          <w:tcPr>
            <w:tcW w:w="952" w:type="pct"/>
            <w:gridSpan w:val="3"/>
          </w:tcPr>
          <w:p>
            <w:pPr>
              <w:spacing w:line="0" w:lineRule="atLeast"/>
              <w:jc w:val="center"/>
              <w:textAlignment w:val="center"/>
              <w:rPr>
                <w:rFonts w:ascii="宋体" w:hAnsi="宋体" w:cs="宋体"/>
                <w:color w:val="000000"/>
                <w:kern w:val="0"/>
              </w:rPr>
            </w:pPr>
            <w:r>
              <w:rPr>
                <w:rFonts w:hint="eastAsia" w:ascii="宋体" w:hAnsi="宋体" w:cs="宋体"/>
                <w:color w:val="000000"/>
                <w:kern w:val="0"/>
              </w:rPr>
              <w:t>法治文化活动室：设立专门的室内活动空间，约25平米，提供书籍等资源。</w:t>
            </w:r>
          </w:p>
        </w:tc>
        <w:tc>
          <w:tcPr>
            <w:tcW w:w="2482" w:type="pct"/>
            <w:gridSpan w:val="2"/>
            <w:vAlign w:val="center"/>
          </w:tcPr>
          <w:p>
            <w:pPr>
              <w:spacing w:line="0" w:lineRule="atLeast"/>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室内风格按照当地藏式风格和其他要求布局。包括粉刷墙面、清理地面、按要求提供相关党建、法治书籍等 。</w:t>
            </w:r>
          </w:p>
          <w:p>
            <w:pPr>
              <w:pStyle w:val="3"/>
              <w:spacing w:line="0" w:lineRule="atLeast"/>
              <w:ind w:firstLine="240"/>
              <w:jc w:val="center"/>
              <w:textAlignment w:val="center"/>
              <w:rPr>
                <w:rFonts w:ascii="宋体" w:hAnsi="宋体" w:cs="宋体"/>
                <w:color w:val="000000"/>
                <w:kern w:val="0"/>
                <w:sz w:val="24"/>
                <w:szCs w:val="24"/>
              </w:rPr>
            </w:pPr>
          </w:p>
        </w:tc>
        <w:tc>
          <w:tcPr>
            <w:tcW w:w="614" w:type="pct"/>
            <w:vAlign w:val="center"/>
          </w:tcPr>
          <w:p>
            <w:pPr>
              <w:pStyle w:val="3"/>
              <w:ind w:firstLine="240"/>
              <w:jc w:val="center"/>
              <w:rPr>
                <w:rFonts w:ascii="宋体" w:hAnsi="宋体" w:cs="宋体"/>
                <w:color w:val="000000"/>
                <w:kern w:val="0"/>
                <w:sz w:val="24"/>
                <w:szCs w:val="24"/>
              </w:rPr>
            </w:pPr>
            <w:r>
              <w:rPr>
                <w:rFonts w:hint="eastAsia" w:ascii="宋体" w:hAnsi="宋体" w:cs="宋体"/>
                <w:color w:val="000000"/>
                <w:kern w:val="0"/>
                <w:sz w:val="24"/>
                <w:szCs w:val="24"/>
              </w:rPr>
              <w:t>1</w:t>
            </w:r>
          </w:p>
        </w:tc>
      </w:tr>
    </w:tbl>
    <w:p>
      <w:pP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（二）服务时限：签订合同之日起，五个工作日完成项目。</w:t>
      </w:r>
    </w:p>
    <w:p>
      <w:pPr>
        <w:pStyle w:val="2"/>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（三）付款方式：项目实施完毕，验收合格后一次性支付。</w:t>
      </w:r>
    </w:p>
    <w:p>
      <w:pPr>
        <w:pStyle w:val="3"/>
        <w:ind w:firstLine="0" w:firstLineChars="0"/>
      </w:pPr>
      <w:r>
        <w:rPr>
          <w:rFonts w:hint="eastAsia" w:asciiTheme="majorEastAsia" w:hAnsiTheme="majorEastAsia" w:eastAsiaTheme="majorEastAsia" w:cstheme="majorEastAsia"/>
          <w:color w:val="000000" w:themeColor="text1"/>
          <w14:textFill>
            <w14:solidFill>
              <w14:schemeClr w14:val="tx1"/>
            </w14:solidFill>
          </w14:textFill>
        </w:rPr>
        <w:t>（四）未尽事宜合同约定。</w:t>
      </w:r>
    </w:p>
    <w:p>
      <w:pPr>
        <w:spacing w:line="580" w:lineRule="exact"/>
        <w:ind w:right="720" w:firstLine="560" w:firstLineChars="200"/>
        <w:rPr>
          <w:rFonts w:asciiTheme="majorEastAsia" w:hAnsiTheme="majorEastAsia" w:eastAsiaTheme="majorEastAsia" w:cstheme="majorEastAsia"/>
          <w:snapToGrid w:val="0"/>
          <w:color w:val="000000" w:themeColor="text1"/>
          <w14:textFill>
            <w14:solidFill>
              <w14:schemeClr w14:val="tx1"/>
            </w14:solidFill>
          </w14:textFill>
        </w:rPr>
      </w:pPr>
      <w:r>
        <w:rPr>
          <w:rFonts w:hint="eastAsia" w:asciiTheme="majorEastAsia" w:hAnsiTheme="majorEastAsia" w:eastAsiaTheme="majorEastAsia" w:cstheme="majorEastAsia"/>
          <w:snapToGrid w:val="0"/>
          <w:color w:val="000000" w:themeColor="text1"/>
          <w14:textFill>
            <w14:solidFill>
              <w14:schemeClr w14:val="tx1"/>
            </w14:solidFill>
          </w14:textFill>
        </w:rPr>
        <w:t>三、谈判评选方式</w:t>
      </w:r>
    </w:p>
    <w:p>
      <w:pPr>
        <w:spacing w:line="580" w:lineRule="exact"/>
        <w:ind w:right="720" w:firstLine="560" w:firstLineChars="200"/>
        <w:rPr>
          <w:rFonts w:asciiTheme="majorEastAsia" w:hAnsiTheme="majorEastAsia" w:eastAsiaTheme="majorEastAsia" w:cstheme="majorEastAsia"/>
          <w:snapToGrid w:val="0"/>
          <w:color w:val="000000" w:themeColor="text1"/>
          <w14:textFill>
            <w14:solidFill>
              <w14:schemeClr w14:val="tx1"/>
            </w14:solidFill>
          </w14:textFill>
        </w:rPr>
      </w:pPr>
      <w:r>
        <w:rPr>
          <w:rFonts w:hint="eastAsia" w:asciiTheme="majorEastAsia" w:hAnsiTheme="majorEastAsia" w:eastAsiaTheme="majorEastAsia" w:cstheme="majorEastAsia"/>
          <w:snapToGrid w:val="0"/>
          <w:color w:val="000000" w:themeColor="text1"/>
          <w14:textFill>
            <w14:solidFill>
              <w14:schemeClr w14:val="tx1"/>
            </w14:solidFill>
          </w14:textFill>
        </w:rPr>
        <w:t>1.被邀请供应商按照谈判文件第三部分内容编制投标文件，编制完成的投标文件用文件袋包装，在封套封口处加盖鲜章，谈判当天向谈判人提交。投标文件只需正本一份。</w:t>
      </w:r>
    </w:p>
    <w:p>
      <w:pPr>
        <w:spacing w:line="580" w:lineRule="exact"/>
        <w:ind w:right="720" w:firstLine="560" w:firstLineChars="200"/>
        <w:rPr>
          <w:rFonts w:asciiTheme="majorEastAsia" w:hAnsiTheme="majorEastAsia" w:eastAsiaTheme="majorEastAsia" w:cstheme="majorEastAsia"/>
          <w:snapToGrid w:val="0"/>
          <w:color w:val="000000" w:themeColor="text1"/>
          <w14:textFill>
            <w14:solidFill>
              <w14:schemeClr w14:val="tx1"/>
            </w14:solidFill>
          </w14:textFill>
        </w:rPr>
      </w:pPr>
      <w:r>
        <w:rPr>
          <w:rFonts w:hint="eastAsia" w:asciiTheme="majorEastAsia" w:hAnsiTheme="majorEastAsia" w:eastAsiaTheme="majorEastAsia" w:cstheme="majorEastAsia"/>
          <w:snapToGrid w:val="0"/>
          <w:color w:val="000000" w:themeColor="text1"/>
          <w14:textFill>
            <w14:solidFill>
              <w14:schemeClr w14:val="tx1"/>
            </w14:solidFill>
          </w14:textFill>
        </w:rPr>
        <w:t xml:space="preserve">2.实质性审查：谈判人对被邀请供应商所提交资质证明文件进行实质性审查，供应商资质符合项目要求的，才能进入报价部分评审；资质不符合项目要求的，为废标。 </w:t>
      </w:r>
    </w:p>
    <w:p>
      <w:pPr>
        <w:spacing w:line="580" w:lineRule="exact"/>
        <w:ind w:right="720" w:firstLine="560" w:firstLineChars="200"/>
        <w:rPr>
          <w:rFonts w:asciiTheme="majorEastAsia" w:hAnsiTheme="majorEastAsia" w:eastAsiaTheme="majorEastAsia" w:cstheme="majorEastAsia"/>
          <w:snapToGrid w:val="0"/>
          <w:color w:val="000000" w:themeColor="text1"/>
          <w14:textFill>
            <w14:solidFill>
              <w14:schemeClr w14:val="tx1"/>
            </w14:solidFill>
          </w14:textFill>
        </w:rPr>
      </w:pPr>
      <w:r>
        <w:rPr>
          <w:rFonts w:hint="eastAsia" w:asciiTheme="majorEastAsia" w:hAnsiTheme="majorEastAsia" w:eastAsiaTheme="majorEastAsia" w:cstheme="majorEastAsia"/>
          <w:snapToGrid w:val="0"/>
          <w:color w:val="000000" w:themeColor="text1"/>
          <w14:textFill>
            <w14:solidFill>
              <w14:schemeClr w14:val="tx1"/>
            </w14:solidFill>
          </w14:textFill>
        </w:rPr>
        <w:t>3.最后报价：符合条件的供应商在谈判结束后进行最后报价，最后报价最低的供应商为中标人。最后报价不得高于第一次报价，否则为废标。如最后报价出现两家以上报价相同且为最低价，则通过现场抽签方式确定中选供应商。</w:t>
      </w:r>
    </w:p>
    <w:p>
      <w:pPr>
        <w:spacing w:line="580" w:lineRule="exact"/>
        <w:ind w:right="720" w:firstLine="560" w:firstLineChars="200"/>
        <w:rPr>
          <w:rFonts w:asciiTheme="majorEastAsia" w:hAnsiTheme="majorEastAsia" w:eastAsiaTheme="majorEastAsia" w:cstheme="majorEastAsia"/>
          <w:snapToGrid w:val="0"/>
          <w:color w:val="000000" w:themeColor="text1"/>
          <w14:textFill>
            <w14:solidFill>
              <w14:schemeClr w14:val="tx1"/>
            </w14:solidFill>
          </w14:textFill>
        </w:rPr>
      </w:pPr>
      <w:r>
        <w:rPr>
          <w:rFonts w:hint="eastAsia" w:asciiTheme="majorEastAsia" w:hAnsiTheme="majorEastAsia" w:eastAsiaTheme="majorEastAsia" w:cstheme="majorEastAsia"/>
          <w:snapToGrid w:val="0"/>
          <w:color w:val="000000" w:themeColor="text1"/>
          <w14:textFill>
            <w14:solidFill>
              <w14:schemeClr w14:val="tx1"/>
            </w14:solidFill>
          </w14:textFill>
        </w:rPr>
        <w:t>4.谈判人向所有供应商当场宣布谈判结果，宣布谈判结束。</w:t>
      </w:r>
    </w:p>
    <w:p>
      <w:pPr>
        <w:spacing w:line="580" w:lineRule="exact"/>
        <w:ind w:right="720" w:firstLine="560" w:firstLineChars="200"/>
        <w:rPr>
          <w:rFonts w:asciiTheme="majorEastAsia" w:hAnsiTheme="majorEastAsia" w:eastAsiaTheme="majorEastAsia" w:cstheme="majorEastAsia"/>
          <w:snapToGrid w:val="0"/>
          <w:color w:val="000000" w:themeColor="text1"/>
          <w14:textFill>
            <w14:solidFill>
              <w14:schemeClr w14:val="tx1"/>
            </w14:solidFill>
          </w14:textFill>
        </w:rPr>
      </w:pPr>
      <w:r>
        <w:rPr>
          <w:rFonts w:hint="eastAsia" w:asciiTheme="majorEastAsia" w:hAnsiTheme="majorEastAsia" w:eastAsiaTheme="majorEastAsia" w:cstheme="majorEastAsia"/>
          <w:snapToGrid w:val="0"/>
          <w:color w:val="000000" w:themeColor="text1"/>
          <w14:textFill>
            <w14:solidFill>
              <w14:schemeClr w14:val="tx1"/>
            </w14:solidFill>
          </w14:textFill>
        </w:rPr>
        <w:t>5．经过谈判确定中选候选人后，谈判人不对其他未中选的被邀请人，就评比过程和未能中选原因作任何解释。</w:t>
      </w:r>
    </w:p>
    <w:p>
      <w:pPr>
        <w:pStyle w:val="2"/>
      </w:pPr>
    </w:p>
    <w:p>
      <w:pPr>
        <w:spacing w:line="360" w:lineRule="auto"/>
        <w:jc w:val="center"/>
        <w:rPr>
          <w:rFonts w:asciiTheme="majorEastAsia" w:hAnsiTheme="majorEastAsia" w:eastAsiaTheme="majorEastAsia" w:cstheme="majorEastAsia"/>
          <w:b/>
          <w:sz w:val="44"/>
          <w:szCs w:val="44"/>
        </w:rPr>
      </w:pPr>
    </w:p>
    <w:p>
      <w:pPr>
        <w:pStyle w:val="2"/>
      </w:pPr>
    </w:p>
    <w:p>
      <w:pPr>
        <w:pStyle w:val="3"/>
        <w:ind w:firstLine="280"/>
      </w:pPr>
    </w:p>
    <w:p>
      <w:pPr>
        <w:pStyle w:val="3"/>
        <w:ind w:firstLine="280"/>
      </w:pPr>
    </w:p>
    <w:p>
      <w:pPr>
        <w:pStyle w:val="3"/>
        <w:ind w:firstLine="280"/>
      </w:pPr>
    </w:p>
    <w:p>
      <w:pPr>
        <w:pStyle w:val="3"/>
        <w:ind w:firstLine="280"/>
      </w:pPr>
    </w:p>
    <w:p>
      <w:pPr>
        <w:spacing w:line="360" w:lineRule="auto"/>
        <w:jc w:val="center"/>
      </w:pPr>
      <w:r>
        <w:rPr>
          <w:rFonts w:hint="eastAsia" w:asciiTheme="majorEastAsia" w:hAnsiTheme="majorEastAsia" w:eastAsiaTheme="majorEastAsia" w:cstheme="majorEastAsia"/>
          <w:b/>
          <w:snapToGrid w:val="0"/>
          <w:sz w:val="44"/>
          <w:szCs w:val="44"/>
        </w:rPr>
        <w:t>第三部分报价文件格式</w:t>
      </w:r>
    </w:p>
    <w:p>
      <w:pPr>
        <w:widowControl/>
        <w:shd w:val="clear" w:color="auto" w:fill="FFFFFF"/>
        <w:spacing w:line="560" w:lineRule="exact"/>
        <w:ind w:firstLine="723" w:firstLineChars="200"/>
        <w:jc w:val="center"/>
        <w:rPr>
          <w:rFonts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b/>
          <w:color w:val="000000"/>
          <w:sz w:val="36"/>
          <w:szCs w:val="36"/>
        </w:rPr>
        <w:t>报价单</w:t>
      </w:r>
    </w:p>
    <w:p>
      <w:pPr>
        <w:widowControl/>
        <w:shd w:val="clear" w:color="auto" w:fill="FFFFFF"/>
        <w:spacing w:line="540" w:lineRule="atLeast"/>
        <w:rPr>
          <w:rFonts w:asciiTheme="minorEastAsia" w:hAnsiTheme="minorEastAsia" w:eastAsiaTheme="minorEastAsia" w:cstheme="minorEastAsia"/>
          <w:b/>
          <w:bCs/>
        </w:rPr>
      </w:pPr>
      <w:r>
        <w:rPr>
          <w:rFonts w:hint="eastAsia" w:asciiTheme="minorEastAsia" w:hAnsiTheme="minorEastAsia" w:eastAsiaTheme="minorEastAsia" w:cstheme="minorEastAsia"/>
          <w:bCs/>
          <w:u w:val="single"/>
        </w:rPr>
        <w:t>四川省南宝山服饰有限公司</w:t>
      </w:r>
      <w:r>
        <w:rPr>
          <w:rFonts w:hint="eastAsia" w:asciiTheme="minorEastAsia" w:hAnsiTheme="minorEastAsia" w:eastAsiaTheme="minorEastAsia" w:cstheme="minorEastAsia"/>
          <w:b/>
          <w:bCs/>
        </w:rPr>
        <w:t>：</w:t>
      </w:r>
    </w:p>
    <w:p>
      <w:pPr>
        <w:snapToGrid w:val="0"/>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snapToGrid w:val="0"/>
          <w:u w:val="single"/>
        </w:rPr>
        <w:t xml:space="preserve">               （被邀请人全称</w:t>
      </w:r>
      <w:r>
        <w:rPr>
          <w:rFonts w:hint="eastAsia" w:asciiTheme="minorEastAsia" w:hAnsiTheme="minorEastAsia" w:eastAsiaTheme="minorEastAsia" w:cstheme="minorEastAsia"/>
          <w:snapToGrid w:val="0"/>
          <w:color w:val="000000" w:themeColor="text1"/>
          <w:u w:val="single"/>
          <w14:textFill>
            <w14:solidFill>
              <w14:schemeClr w14:val="tx1"/>
            </w14:solidFill>
          </w14:textFill>
        </w:rPr>
        <w:t>）</w:t>
      </w:r>
      <w:r>
        <w:rPr>
          <w:rFonts w:hint="eastAsia" w:asciiTheme="minorEastAsia" w:hAnsiTheme="minorEastAsia" w:eastAsiaTheme="minorEastAsia" w:cstheme="minorEastAsia"/>
          <w:snapToGrid w:val="0"/>
          <w:color w:val="000000" w:themeColor="text1"/>
          <w14:textFill>
            <w14:solidFill>
              <w14:schemeClr w14:val="tx1"/>
            </w14:solidFill>
          </w14:textFill>
        </w:rPr>
        <w:t>自愿</w:t>
      </w:r>
      <w:r>
        <w:rPr>
          <w:rFonts w:hint="eastAsia" w:asciiTheme="minorEastAsia" w:hAnsiTheme="minorEastAsia" w:eastAsiaTheme="minorEastAsia" w:cstheme="minorEastAsia"/>
          <w:snapToGrid w:val="0"/>
        </w:rPr>
        <w:t>参加贵方组织的</w:t>
      </w:r>
      <w:r>
        <w:rPr>
          <w:rFonts w:hint="eastAsia" w:asciiTheme="minorEastAsia" w:hAnsiTheme="minorEastAsia" w:eastAsiaTheme="minorEastAsia" w:cstheme="minorEastAsia"/>
          <w:bCs/>
          <w:kern w:val="0"/>
        </w:rPr>
        <w:t>四川省南宝山服饰有限公司白玉县盖玉镇打造党建引领法治示范村和基层法治党建工作站</w:t>
      </w:r>
      <w:r>
        <w:rPr>
          <w:rFonts w:hint="eastAsia" w:asciiTheme="majorEastAsia" w:hAnsiTheme="majorEastAsia" w:eastAsiaTheme="majorEastAsia" w:cstheme="majorEastAsia"/>
        </w:rPr>
        <w:t>采购，</w:t>
      </w:r>
      <w:r>
        <w:rPr>
          <w:rFonts w:hint="eastAsia" w:asciiTheme="minorEastAsia" w:hAnsiTheme="minorEastAsia" w:eastAsiaTheme="minorEastAsia" w:cstheme="minorEastAsia"/>
        </w:rPr>
        <w:t>在分析了相关资料和实际情况后，我公司愿意以小写：（）元，大写（                        ）元参与该项目，完成项目工作内容的全部任务。如我方中标，我方承诺：</w:t>
      </w:r>
    </w:p>
    <w:p>
      <w:pPr>
        <w:widowControl/>
        <w:shd w:val="clear" w:color="auto" w:fill="FFFFFF"/>
        <w:spacing w:line="560" w:lineRule="exact"/>
        <w:ind w:firstLine="56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1、按合同条件完成服务内容。</w:t>
      </w:r>
    </w:p>
    <w:p>
      <w:pPr>
        <w:widowControl/>
        <w:shd w:val="clear" w:color="auto" w:fill="FFFFFF"/>
        <w:spacing w:line="560" w:lineRule="exact"/>
        <w:ind w:firstLine="56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2、签订正式合同之日起，五个工作日完成该项目。</w:t>
      </w:r>
    </w:p>
    <w:p>
      <w:pPr>
        <w:widowControl/>
        <w:shd w:val="clear" w:color="auto" w:fill="FFFFFF"/>
        <w:spacing w:line="560" w:lineRule="exact"/>
        <w:ind w:firstLine="56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以上为我方参加谈判的申请，如违反，则自行承担相应法律责任，自愿按照相关规定接受处罚。</w:t>
      </w:r>
    </w:p>
    <w:p>
      <w:pPr>
        <w:widowControl/>
        <w:shd w:val="clear" w:color="auto" w:fill="FFFFFF"/>
        <w:spacing w:before="100" w:after="100" w:line="800" w:lineRule="atLeast"/>
        <w:ind w:right="26"/>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被邀请人：（盖单位章）</w:t>
      </w:r>
    </w:p>
    <w:p>
      <w:pPr>
        <w:widowControl/>
        <w:shd w:val="clear" w:color="auto" w:fill="FFFFFF"/>
        <w:spacing w:line="800" w:lineRule="atLeas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地址：</w:t>
      </w:r>
    </w:p>
    <w:p>
      <w:pPr>
        <w:widowControl/>
        <w:shd w:val="clear" w:color="auto" w:fill="FFFFFF"/>
        <w:spacing w:line="800" w:lineRule="atLeas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联系方式：</w:t>
      </w:r>
    </w:p>
    <w:p>
      <w:pPr>
        <w:widowControl/>
        <w:shd w:val="clear" w:color="auto" w:fill="FFFFFF"/>
        <w:wordWrap w:val="0"/>
        <w:spacing w:line="540" w:lineRule="atLeast"/>
        <w:ind w:right="840" w:firstLine="3360" w:firstLineChars="1200"/>
        <w:jc w:val="right"/>
        <w:rPr>
          <w:rFonts w:asciiTheme="minorEastAsia" w:hAnsiTheme="minorEastAsia" w:eastAsiaTheme="minorEastAsia" w:cstheme="minorEastAsia"/>
        </w:rPr>
        <w:sectPr>
          <w:headerReference r:id="rId3" w:type="default"/>
          <w:footerReference r:id="rId4" w:type="default"/>
          <w:pgSz w:w="11906" w:h="16838"/>
          <w:pgMar w:top="1440" w:right="1474" w:bottom="1440" w:left="1588" w:header="851" w:footer="992" w:gutter="0"/>
          <w:cols w:space="720" w:num="1"/>
          <w:docGrid w:type="lines" w:linePitch="312" w:charSpace="0"/>
        </w:sectPr>
      </w:pPr>
      <w:r>
        <w:rPr>
          <w:rFonts w:hint="eastAsia" w:asciiTheme="minorEastAsia" w:hAnsiTheme="minorEastAsia" w:eastAsiaTheme="minorEastAsia" w:cstheme="minorEastAsia"/>
          <w:bCs/>
        </w:rPr>
        <w:t>年  月  日</w:t>
      </w:r>
    </w:p>
    <w:p>
      <w:pPr>
        <w:jc w:val="center"/>
        <w:rPr>
          <w:rFonts w:asciiTheme="majorEastAsia" w:hAnsiTheme="majorEastAsia" w:eastAsiaTheme="majorEastAsia" w:cstheme="majorEastAsia"/>
          <w:b/>
          <w:snapToGrid w:val="0"/>
          <w:sz w:val="36"/>
          <w:szCs w:val="36"/>
        </w:rPr>
      </w:pPr>
    </w:p>
    <w:p>
      <w:pPr>
        <w:adjustRightInd w:val="0"/>
        <w:snapToGrid w:val="0"/>
        <w:spacing w:line="312" w:lineRule="auto"/>
        <w:ind w:firstLine="3253" w:firstLineChars="900"/>
        <w:outlineLvl w:val="1"/>
        <w:rPr>
          <w:rFonts w:ascii="仿宋" w:hAnsi="仿宋" w:eastAsia="仿宋" w:cs="仿宋"/>
          <w:b/>
          <w:bCs/>
          <w:sz w:val="24"/>
          <w:szCs w:val="24"/>
        </w:rPr>
      </w:pPr>
      <w:r>
        <w:rPr>
          <w:rFonts w:hint="eastAsia" w:asciiTheme="majorEastAsia" w:hAnsiTheme="majorEastAsia" w:eastAsiaTheme="majorEastAsia" w:cstheme="majorEastAsia"/>
          <w:b/>
          <w:bCs/>
          <w:color w:val="000000"/>
          <w:sz w:val="36"/>
          <w:szCs w:val="36"/>
        </w:rPr>
        <w:t>承诺函</w:t>
      </w:r>
    </w:p>
    <w:p>
      <w:pPr>
        <w:widowControl/>
        <w:adjustRightInd w:val="0"/>
        <w:snapToGrid w:val="0"/>
        <w:spacing w:line="312" w:lineRule="auto"/>
        <w:jc w:val="left"/>
        <w:rPr>
          <w:rFonts w:ascii="仿宋" w:hAnsi="仿宋" w:eastAsia="仿宋" w:cs="仿宋"/>
          <w:color w:val="000000"/>
          <w:sz w:val="24"/>
        </w:rPr>
      </w:pPr>
    </w:p>
    <w:p>
      <w:pPr>
        <w:widowControl/>
        <w:adjustRightInd w:val="0"/>
        <w:snapToGrid w:val="0"/>
        <w:spacing w:line="312" w:lineRule="auto"/>
        <w:jc w:val="left"/>
        <w:rPr>
          <w:rFonts w:ascii="仿宋" w:hAnsi="仿宋" w:eastAsia="仿宋" w:cs="仿宋"/>
          <w:sz w:val="24"/>
          <w:szCs w:val="24"/>
        </w:rPr>
      </w:pPr>
      <w:r>
        <w:rPr>
          <w:rFonts w:hint="eastAsia" w:asciiTheme="minorEastAsia" w:hAnsiTheme="minorEastAsia" w:eastAsiaTheme="minorEastAsia" w:cstheme="minorEastAsia"/>
          <w:bCs/>
          <w:u w:val="single"/>
        </w:rPr>
        <w:t>四川省南宝山服饰有限公司</w:t>
      </w:r>
      <w:r>
        <w:rPr>
          <w:rFonts w:hint="eastAsia" w:ascii="仿宋" w:hAnsi="仿宋" w:eastAsia="仿宋" w:cs="仿宋"/>
          <w:sz w:val="24"/>
          <w:szCs w:val="24"/>
        </w:rPr>
        <w:t>：</w:t>
      </w:r>
    </w:p>
    <w:p>
      <w:pPr>
        <w:widowControl/>
        <w:adjustRightInd w:val="0"/>
        <w:snapToGrid w:val="0"/>
        <w:spacing w:line="312" w:lineRule="auto"/>
        <w:ind w:firstLine="56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我单位作为本次采购项目的供应商，根据采购文件要求，现郑重承诺如下：</w:t>
      </w:r>
    </w:p>
    <w:p>
      <w:pPr>
        <w:widowControl/>
        <w:adjustRightInd w:val="0"/>
        <w:snapToGrid w:val="0"/>
        <w:spacing w:line="312" w:lineRule="auto"/>
        <w:ind w:firstLine="56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具备本项目规定的条件：</w:t>
      </w:r>
    </w:p>
    <w:p>
      <w:pPr>
        <w:widowControl/>
        <w:adjustRightInd w:val="0"/>
        <w:snapToGrid w:val="0"/>
        <w:spacing w:line="312" w:lineRule="auto"/>
        <w:ind w:firstLine="56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（一）具有独立承担民事责任的能力；</w:t>
      </w:r>
    </w:p>
    <w:p>
      <w:pPr>
        <w:widowControl/>
        <w:adjustRightInd w:val="0"/>
        <w:snapToGrid w:val="0"/>
        <w:spacing w:line="312" w:lineRule="auto"/>
        <w:ind w:firstLine="56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（二）具有良好的商业信誉和健全的财务会计制度；</w:t>
      </w:r>
    </w:p>
    <w:p>
      <w:pPr>
        <w:widowControl/>
        <w:adjustRightInd w:val="0"/>
        <w:snapToGrid w:val="0"/>
        <w:spacing w:line="312" w:lineRule="auto"/>
        <w:ind w:firstLine="56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（三）具有履行合同所必需的设备和专业技术能力；</w:t>
      </w:r>
    </w:p>
    <w:p>
      <w:pPr>
        <w:widowControl/>
        <w:adjustRightInd w:val="0"/>
        <w:snapToGrid w:val="0"/>
        <w:spacing w:line="312" w:lineRule="auto"/>
        <w:ind w:firstLine="56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（四）参加采购活动前三年内，在经营活动中没有重大违法记录；</w:t>
      </w:r>
    </w:p>
    <w:p>
      <w:pPr>
        <w:widowControl/>
        <w:adjustRightInd w:val="0"/>
        <w:snapToGrid w:val="0"/>
        <w:spacing w:line="312" w:lineRule="auto"/>
        <w:ind w:firstLine="56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（五）法律、行政法规规定的其他条件。</w:t>
      </w:r>
    </w:p>
    <w:p>
      <w:pPr>
        <w:widowControl/>
        <w:adjustRightInd w:val="0"/>
        <w:snapToGrid w:val="0"/>
        <w:spacing w:line="312" w:lineRule="auto"/>
        <w:ind w:firstLine="56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本单位对上述承诺的内容事项真实性负责。如经查实上述承诺的内容事项存在虚假，我单位愿意接受以提供虚假材料谋取成交追究法律责任。</w:t>
      </w:r>
    </w:p>
    <w:p>
      <w:pPr>
        <w:widowControl/>
        <w:adjustRightInd w:val="0"/>
        <w:snapToGrid w:val="0"/>
        <w:spacing w:line="312" w:lineRule="auto"/>
        <w:ind w:firstLine="548" w:firstLineChars="196"/>
        <w:jc w:val="left"/>
        <w:rPr>
          <w:rFonts w:asciiTheme="minorEastAsia" w:hAnsiTheme="minorEastAsia" w:eastAsiaTheme="minorEastAsia" w:cstheme="minorEastAsia"/>
        </w:rPr>
      </w:pPr>
    </w:p>
    <w:p>
      <w:pPr>
        <w:adjustRightInd w:val="0"/>
        <w:snapToGrid w:val="0"/>
        <w:spacing w:line="312" w:lineRule="auto"/>
        <w:ind w:firstLine="560" w:firstLineChars="200"/>
        <w:jc w:val="lef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color w:val="000000"/>
          <w:kern w:val="0"/>
        </w:rPr>
        <w:t>（加盖公章）</w:t>
      </w:r>
      <w:r>
        <w:rPr>
          <w:rFonts w:hint="eastAsia" w:asciiTheme="minorEastAsia" w:hAnsiTheme="minorEastAsia" w:eastAsiaTheme="minorEastAsia" w:cstheme="minorEastAsia"/>
        </w:rPr>
        <w:t>：</w:t>
      </w:r>
    </w:p>
    <w:p>
      <w:pPr>
        <w:tabs>
          <w:tab w:val="left" w:pos="7665"/>
        </w:tabs>
        <w:adjustRightInd w:val="0"/>
        <w:snapToGrid w:val="0"/>
        <w:spacing w:line="312" w:lineRule="auto"/>
        <w:ind w:firstLine="560" w:firstLineChars="200"/>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法定代表人/单位负责人或授权代表（签字或加盖个人印章）：</w:t>
      </w:r>
    </w:p>
    <w:p>
      <w:pPr>
        <w:adjustRightInd w:val="0"/>
        <w:snapToGrid w:val="0"/>
        <w:spacing w:line="312" w:lineRule="auto"/>
        <w:ind w:firstLine="560" w:firstLineChars="200"/>
        <w:rPr>
          <w:rStyle w:val="21"/>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rPr>
        <w:t>日期：</w:t>
      </w: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b/>
          <w:snapToGrid w:val="0"/>
          <w:sz w:val="36"/>
          <w:szCs w:val="36"/>
        </w:rPr>
        <w:t>资质证明文件</w:t>
      </w:r>
    </w:p>
    <w:p>
      <w:pPr>
        <w:jc w:val="center"/>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rPr>
        <w:t>（资质证书、营业执照等复印件加盖企业鲜章）。</w:t>
      </w:r>
    </w:p>
    <w:p>
      <w:pPr>
        <w:rPr>
          <w:rFonts w:asciiTheme="majorEastAsia" w:hAnsiTheme="majorEastAsia" w:eastAsiaTheme="majorEastAsia" w:cstheme="majorEastAsia"/>
          <w:bCs/>
          <w:snapToGrid w:val="0"/>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b/>
          <w:snapToGrid w:val="0"/>
          <w:sz w:val="36"/>
          <w:szCs w:val="36"/>
        </w:rPr>
        <w:br w:type="page"/>
      </w:r>
      <w:r>
        <w:rPr>
          <w:rFonts w:hint="eastAsia" w:asciiTheme="majorEastAsia" w:hAnsiTheme="majorEastAsia" w:eastAsiaTheme="majorEastAsia" w:cstheme="majorEastAsia"/>
          <w:b/>
          <w:snapToGrid w:val="0"/>
          <w:sz w:val="36"/>
          <w:szCs w:val="36"/>
        </w:rPr>
        <w:t>法人身份证复印件</w:t>
      </w: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snapToGrid w:val="0"/>
        </w:rPr>
        <w:t>（加盖企业鲜章）</w:t>
      </w:r>
    </w:p>
    <w:p>
      <w:pPr>
        <w:rPr>
          <w:rFonts w:asciiTheme="majorEastAsia" w:hAnsiTheme="majorEastAsia" w:eastAsiaTheme="majorEastAsia" w:cstheme="majorEastAsia"/>
          <w:snapToGrid w:val="0"/>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b/>
          <w:snapToGrid w:val="0"/>
          <w:sz w:val="36"/>
          <w:szCs w:val="36"/>
        </w:rPr>
        <w:br w:type="page"/>
      </w:r>
      <w:r>
        <w:rPr>
          <w:rFonts w:hint="eastAsia" w:asciiTheme="majorEastAsia" w:hAnsiTheme="majorEastAsia" w:eastAsiaTheme="majorEastAsia" w:cstheme="majorEastAsia"/>
          <w:b/>
          <w:snapToGrid w:val="0"/>
          <w:sz w:val="36"/>
          <w:szCs w:val="36"/>
        </w:rPr>
        <w:t>授权委托书</w:t>
      </w: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snapToGrid w:val="0"/>
        </w:rPr>
        <w:t>（加盖企业鲜章）</w:t>
      </w: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b/>
          <w:snapToGrid w:val="0"/>
          <w:sz w:val="36"/>
          <w:szCs w:val="36"/>
        </w:rPr>
        <w:br w:type="page"/>
      </w:r>
    </w:p>
    <w:p>
      <w:pPr>
        <w:jc w:val="center"/>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b/>
          <w:snapToGrid w:val="0"/>
          <w:sz w:val="36"/>
          <w:szCs w:val="36"/>
        </w:rPr>
        <w:t>全权代表身份证复印件</w:t>
      </w: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snapToGrid w:val="0"/>
        </w:rPr>
        <w:t>（加盖企业鲜章）</w:t>
      </w:r>
    </w:p>
    <w:p>
      <w:pPr>
        <w:rPr>
          <w:rFonts w:asciiTheme="majorEastAsia" w:hAnsiTheme="majorEastAsia" w:eastAsiaTheme="majorEastAsia" w:cstheme="majorEastAsia"/>
          <w:snapToGrid w:val="0"/>
        </w:rPr>
      </w:pPr>
    </w:p>
    <w:p>
      <w:pPr>
        <w:rPr>
          <w:rFonts w:asciiTheme="majorEastAsia" w:hAnsiTheme="majorEastAsia" w:eastAsiaTheme="majorEastAsia" w:cstheme="majorEastAsia"/>
        </w:rPr>
      </w:pPr>
    </w:p>
    <w:p>
      <w:pPr>
        <w:rPr>
          <w:rFonts w:asciiTheme="majorEastAsia" w:hAnsiTheme="majorEastAsia" w:eastAsiaTheme="majorEastAsia" w:cstheme="majorEastAsia"/>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pStyle w:val="2"/>
      </w:pPr>
    </w:p>
    <w:p>
      <w:pPr>
        <w:pStyle w:val="3"/>
        <w:ind w:firstLine="280"/>
      </w:pPr>
    </w:p>
    <w:p>
      <w:pPr>
        <w:pStyle w:val="3"/>
        <w:ind w:firstLine="0" w:firstLineChars="0"/>
      </w:pPr>
    </w:p>
    <w:p>
      <w:pPr>
        <w:pageBreakBefore/>
        <w:spacing w:line="360" w:lineRule="auto"/>
        <w:ind w:right="482"/>
        <w:jc w:val="center"/>
        <w:outlineLvl w:val="1"/>
        <w:rPr>
          <w:rFonts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kern w:val="0"/>
          <w:sz w:val="32"/>
          <w:szCs w:val="32"/>
        </w:rPr>
        <w:t>四川省南宝山服饰有限公司白玉县盖玉镇打造党建引领法治示范村和基层法治党建工作站采购</w:t>
      </w:r>
      <w:r>
        <w:rPr>
          <w:rFonts w:hint="eastAsia" w:asciiTheme="majorEastAsia" w:hAnsiTheme="majorEastAsia" w:eastAsiaTheme="majorEastAsia" w:cstheme="majorEastAsia"/>
          <w:b/>
          <w:color w:val="000000" w:themeColor="text1"/>
          <w:sz w:val="32"/>
          <w:szCs w:val="32"/>
          <w14:textFill>
            <w14:solidFill>
              <w14:schemeClr w14:val="tx1"/>
            </w14:solidFill>
          </w14:textFill>
        </w:rPr>
        <w:t>最终报价表</w:t>
      </w:r>
    </w:p>
    <w:tbl>
      <w:tblPr>
        <w:tblStyle w:val="9"/>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959" w:type="dxa"/>
            <w:noWrap/>
            <w:vAlign w:val="center"/>
          </w:tcPr>
          <w:p>
            <w:pPr>
              <w:snapToGrid w:val="0"/>
              <w:spacing w:line="276" w:lineRule="auto"/>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采购项目名称</w:t>
            </w:r>
          </w:p>
        </w:tc>
        <w:tc>
          <w:tcPr>
            <w:tcW w:w="6685" w:type="dxa"/>
            <w:noWrap/>
            <w:vAlign w:val="bottom"/>
          </w:tcPr>
          <w:p>
            <w:pPr>
              <w:snapToGrid w:val="0"/>
              <w:spacing w:line="276" w:lineRule="auto"/>
              <w:ind w:right="140"/>
              <w:rPr>
                <w:rFonts w:asciiTheme="majorEastAsia" w:hAnsiTheme="majorEastAsia" w:eastAsiaTheme="minorEastAsia" w:cstheme="majorEastAsia"/>
                <w:color w:val="000000" w:themeColor="text1"/>
                <w14:textFill>
                  <w14:solidFill>
                    <w14:schemeClr w14:val="tx1"/>
                  </w14:solidFill>
                </w14:textFill>
              </w:rPr>
            </w:pPr>
            <w:r>
              <w:rPr>
                <w:rFonts w:hint="eastAsia" w:asciiTheme="minorEastAsia" w:hAnsiTheme="minorEastAsia" w:eastAsiaTheme="minorEastAsia" w:cstheme="minorEastAsia"/>
                <w:bCs/>
                <w:kern w:val="0"/>
              </w:rPr>
              <w:t>四川省南宝山服饰有限公司白玉县盖玉镇打造党建引领法治示范村和基层法治党建工作站采购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2959" w:type="dxa"/>
            <w:noWrap/>
            <w:vAlign w:val="center"/>
          </w:tcPr>
          <w:p>
            <w:pPr>
              <w:snapToGrid w:val="0"/>
              <w:spacing w:line="276" w:lineRule="auto"/>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最终报价为</w:t>
            </w:r>
          </w:p>
        </w:tc>
        <w:tc>
          <w:tcPr>
            <w:tcW w:w="6685" w:type="dxa"/>
            <w:noWrap/>
            <w:vAlign w:val="center"/>
          </w:tcPr>
          <w:p>
            <w:pPr>
              <w:snapToGrid w:val="0"/>
              <w:spacing w:line="276" w:lineRule="auto"/>
              <w:jc w:val="right"/>
              <w:rPr>
                <w:rFonts w:asciiTheme="majorEastAsia" w:hAnsiTheme="majorEastAsia" w:eastAsiaTheme="majorEastAsia" w:cstheme="majorEastAsia"/>
                <w:color w:val="000000" w:themeColor="text1"/>
                <w14:textFill>
                  <w14:solidFill>
                    <w14:schemeClr w14:val="tx1"/>
                  </w14:solidFill>
                </w14:textFill>
              </w:rPr>
            </w:pPr>
          </w:p>
          <w:p>
            <w:pPr>
              <w:wordWrap w:val="0"/>
              <w:snapToGrid w:val="0"/>
              <w:spacing w:line="276" w:lineRule="auto"/>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小写：           元，大写：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959" w:type="dxa"/>
            <w:noWrap/>
            <w:vAlign w:val="center"/>
          </w:tcPr>
          <w:p>
            <w:pPr>
              <w:snapToGrid w:val="0"/>
              <w:spacing w:line="276" w:lineRule="auto"/>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备注</w:t>
            </w:r>
          </w:p>
        </w:tc>
        <w:tc>
          <w:tcPr>
            <w:tcW w:w="6685" w:type="dxa"/>
            <w:noWrap/>
            <w:vAlign w:val="center"/>
          </w:tcPr>
          <w:p>
            <w:pPr>
              <w:snapToGrid w:val="0"/>
              <w:spacing w:line="276" w:lineRule="auto"/>
              <w:rPr>
                <w:rFonts w:asciiTheme="majorEastAsia" w:hAnsiTheme="majorEastAsia" w:eastAsiaTheme="majorEastAsia" w:cstheme="majorEastAsia"/>
                <w:color w:val="000000" w:themeColor="text1"/>
                <w14:textFill>
                  <w14:solidFill>
                    <w14:schemeClr w14:val="tx1"/>
                  </w14:solidFill>
                </w14:textFill>
              </w:rPr>
            </w:pPr>
          </w:p>
        </w:tc>
      </w:tr>
    </w:tbl>
    <w:p>
      <w:pPr>
        <w:rPr>
          <w:rFonts w:asciiTheme="majorEastAsia" w:hAnsiTheme="majorEastAsia" w:eastAsiaTheme="majorEastAsia" w:cstheme="majorEastAsia"/>
          <w:color w:val="000000" w:themeColor="text1"/>
          <w14:textFill>
            <w14:solidFill>
              <w14:schemeClr w14:val="tx1"/>
            </w14:solidFill>
          </w14:textFill>
        </w:rPr>
      </w:pPr>
    </w:p>
    <w:p>
      <w:pPr>
        <w:spacing w:line="360" w:lineRule="auto"/>
        <w:ind w:firstLine="56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供应商名称：</w:t>
      </w:r>
    </w:p>
    <w:p>
      <w:pPr>
        <w:pStyle w:val="17"/>
        <w:rPr>
          <w:rFonts w:asciiTheme="majorEastAsia" w:hAnsiTheme="majorEastAsia" w:eastAsiaTheme="majorEastAsia" w:cstheme="majorEastAsia"/>
          <w:color w:val="000000" w:themeColor="text1"/>
          <w:kern w:val="0"/>
          <w:sz w:val="24"/>
          <w:szCs w:val="24"/>
          <w:u w:val="single"/>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法定代表人/单位负责人或授权代表（签字或加盖个人印章）</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w:t>
      </w:r>
    </w:p>
    <w:p>
      <w:pPr>
        <w:pStyle w:val="17"/>
        <w:snapToGrid w:val="0"/>
        <w:rPr>
          <w:rFonts w:asciiTheme="majorEastAsia" w:hAnsiTheme="majorEastAsia" w:eastAsiaTheme="majorEastAsia" w:cs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日期：</w:t>
      </w:r>
    </w:p>
    <w:p>
      <w:pPr>
        <w:pStyle w:val="17"/>
        <w:snapToGrid w:val="0"/>
        <w:spacing w:line="276" w:lineRule="auto"/>
        <w:ind w:firstLine="551"/>
        <w:rPr>
          <w:rFonts w:asciiTheme="majorEastAsia" w:hAnsiTheme="majorEastAsia" w:eastAsiaTheme="majorEastAsia" w:cstheme="majorEastAsia"/>
          <w:color w:val="000000" w:themeColor="text1"/>
          <w:kern w:val="0"/>
          <w:sz w:val="24"/>
          <w:szCs w:val="24"/>
          <w14:textFill>
            <w14:solidFill>
              <w14:schemeClr w14:val="tx1"/>
            </w14:solidFill>
          </w14:textFill>
        </w:rPr>
      </w:pPr>
    </w:p>
    <w:p>
      <w:pPr>
        <w:pStyle w:val="17"/>
        <w:snapToGrid w:val="0"/>
        <w:spacing w:line="276"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注：</w:t>
      </w:r>
    </w:p>
    <w:p>
      <w:pPr>
        <w:pStyle w:val="17"/>
        <w:snapToGrid w:val="0"/>
        <w:spacing w:line="276"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1、总报价应是完成</w:t>
      </w:r>
      <w:r>
        <w:rPr>
          <w:rFonts w:hint="eastAsia" w:asciiTheme="majorEastAsia" w:hAnsiTheme="majorEastAsia" w:eastAsiaTheme="majorEastAsia" w:cstheme="majorEastAsia"/>
          <w:color w:val="000000" w:themeColor="text1"/>
          <w:sz w:val="24"/>
          <w14:textFill>
            <w14:solidFill>
              <w14:schemeClr w14:val="tx1"/>
            </w14:solidFill>
          </w14:textFill>
        </w:rPr>
        <w:t>本项目及谈判</w:t>
      </w:r>
      <w:r>
        <w:rPr>
          <w:rFonts w:hint="eastAsia" w:asciiTheme="majorEastAsia" w:hAnsiTheme="majorEastAsia" w:eastAsiaTheme="majorEastAsia" w:cstheme="majorEastAsia"/>
          <w:color w:val="000000" w:themeColor="text1"/>
          <w:sz w:val="24"/>
          <w:szCs w:val="24"/>
          <w14:textFill>
            <w14:solidFill>
              <w14:schemeClr w14:val="tx1"/>
            </w14:solidFill>
          </w14:textFill>
        </w:rPr>
        <w:t>文件中所要求的全部内容的最终价格（包含人工、安装、运费、税金等）。</w:t>
      </w:r>
    </w:p>
    <w:p>
      <w:pPr>
        <w:pStyle w:val="17"/>
        <w:snapToGrid w:val="0"/>
        <w:spacing w:line="276"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p>
    <w:p>
      <w:pPr>
        <w:pStyle w:val="17"/>
        <w:snapToGrid w:val="0"/>
        <w:spacing w:line="276" w:lineRule="auto"/>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2、谈判结束时，采购人现场工作人员向通符合本次采购要求的被邀请供应商发放 “最后报价表”，经供应商法定代表人</w:t>
      </w:r>
      <w:r>
        <w:rPr>
          <w:rFonts w:hint="eastAsia" w:asciiTheme="majorEastAsia" w:hAnsiTheme="majorEastAsia" w:eastAsiaTheme="majorEastAsia" w:cstheme="majorEastAsia"/>
          <w:color w:val="000000" w:themeColor="text1"/>
          <w:sz w:val="24"/>
          <w14:textFill>
            <w14:solidFill>
              <w14:schemeClr w14:val="tx1"/>
            </w14:solidFill>
          </w14:textFill>
        </w:rPr>
        <w:t>/单位负责人</w:t>
      </w:r>
      <w:r>
        <w:rPr>
          <w:rFonts w:hint="eastAsia" w:asciiTheme="majorEastAsia" w:hAnsiTheme="majorEastAsia" w:eastAsiaTheme="majorEastAsia" w:cstheme="majorEastAsia"/>
          <w:color w:val="000000" w:themeColor="text1"/>
          <w:sz w:val="24"/>
          <w:szCs w:val="24"/>
          <w14:textFill>
            <w14:solidFill>
              <w14:schemeClr w14:val="tx1"/>
            </w14:solidFill>
          </w14:textFill>
        </w:rPr>
        <w:t>或代理人按要求填写最后报价后递交给采购人现场工作人员，由其收集齐后集中递交评审小组。供应商在响应文件中提交此表的，不影响其响应文件的有效性，其最后报价以谈判结束后提交的“最后报价表”为准。</w:t>
      </w:r>
    </w:p>
    <w:p>
      <w:pPr>
        <w:pStyle w:val="18"/>
        <w:ind w:firstLine="0" w:firstLineChars="0"/>
        <w:rPr>
          <w:rFonts w:asciiTheme="majorEastAsia" w:hAnsiTheme="majorEastAsia" w:eastAsiaTheme="majorEastAsia" w:cstheme="majorEastAsia"/>
          <w:color w:val="000000" w:themeColor="text1"/>
          <w14:textFill>
            <w14:solidFill>
              <w14:schemeClr w14:val="tx1"/>
            </w14:solidFill>
          </w14:textFill>
        </w:rPr>
      </w:pPr>
    </w:p>
    <w:p>
      <w:pPr>
        <w:rPr>
          <w:rFonts w:asciiTheme="majorEastAsia" w:hAnsiTheme="majorEastAsia" w:eastAsiaTheme="majorEastAsia" w:cstheme="majorEastAsia"/>
          <w:b/>
          <w:snapToGrid w:val="0"/>
          <w:color w:val="000000" w:themeColor="text1"/>
          <w:szCs w:val="24"/>
          <w14:textFill>
            <w14:solidFill>
              <w14:schemeClr w14:val="tx1"/>
            </w14:solidFill>
          </w14:textFill>
        </w:rPr>
      </w:pPr>
    </w:p>
    <w:p>
      <w:pPr>
        <w:spacing w:line="800" w:lineRule="exact"/>
        <w:jc w:val="center"/>
        <w:rPr>
          <w:rFonts w:asciiTheme="majorEastAsia" w:hAnsiTheme="majorEastAsia" w:eastAsiaTheme="majorEastAsia" w:cstheme="majorEastAsia"/>
        </w:rPr>
      </w:pPr>
    </w:p>
    <w:sectPr>
      <w:headerReference r:id="rId5" w:type="default"/>
      <w:footerReference r:id="rId6" w:type="default"/>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sz w:val="21"/>
        <w:u w:val="single"/>
      </w:rPr>
    </w:pPr>
  </w:p>
  <w:p>
    <w:pPr>
      <w:pStyle w:val="6"/>
      <w:jc w:val="center"/>
      <w:rPr>
        <w:rFonts w:ascii="黑体" w:eastAsia="黑体"/>
        <w:snapToGrid w:val="0"/>
        <w:spacing w:val="100"/>
        <w:sz w:val="24"/>
      </w:rPr>
    </w:pPr>
    <w:r>
      <w:fldChar w:fldCharType="begin"/>
    </w:r>
    <w:r>
      <w:rPr>
        <w:rStyle w:val="12"/>
      </w:rPr>
      <w:instrText xml:space="preserve"> PAGE </w:instrText>
    </w:r>
    <w:r>
      <w:fldChar w:fldCharType="separate"/>
    </w:r>
    <w:r>
      <w:rPr>
        <w:rStyle w:val="12"/>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6</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楷体" w:eastAsia="楷体"/>
      </w:rPr>
    </w:pPr>
    <w:r>
      <w:rPr>
        <w:rFonts w:hint="eastAsia" w:ascii="黑体" w:eastAsia="黑体"/>
        <w:sz w:val="21"/>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E6B04"/>
    <w:multiLevelType w:val="singleLevel"/>
    <w:tmpl w:val="3FFE6B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617"/>
    <w:rsid w:val="000049BE"/>
    <w:rsid w:val="00031220"/>
    <w:rsid w:val="000E6017"/>
    <w:rsid w:val="001C0525"/>
    <w:rsid w:val="001D7131"/>
    <w:rsid w:val="00224199"/>
    <w:rsid w:val="002517AD"/>
    <w:rsid w:val="00266191"/>
    <w:rsid w:val="0026751C"/>
    <w:rsid w:val="0028638E"/>
    <w:rsid w:val="002A7313"/>
    <w:rsid w:val="002B6E67"/>
    <w:rsid w:val="002C45CA"/>
    <w:rsid w:val="003437AF"/>
    <w:rsid w:val="0035313F"/>
    <w:rsid w:val="003672B1"/>
    <w:rsid w:val="003745DB"/>
    <w:rsid w:val="00392C0E"/>
    <w:rsid w:val="00397A00"/>
    <w:rsid w:val="003B7C46"/>
    <w:rsid w:val="00463D2A"/>
    <w:rsid w:val="004F7ABA"/>
    <w:rsid w:val="004F7C2B"/>
    <w:rsid w:val="005159F0"/>
    <w:rsid w:val="00582426"/>
    <w:rsid w:val="00582E48"/>
    <w:rsid w:val="00596F8D"/>
    <w:rsid w:val="005C3F90"/>
    <w:rsid w:val="00682617"/>
    <w:rsid w:val="007319A7"/>
    <w:rsid w:val="00782332"/>
    <w:rsid w:val="0079620F"/>
    <w:rsid w:val="008010AE"/>
    <w:rsid w:val="0089659B"/>
    <w:rsid w:val="008B2A2D"/>
    <w:rsid w:val="008C765E"/>
    <w:rsid w:val="008E5986"/>
    <w:rsid w:val="0091440F"/>
    <w:rsid w:val="00914B57"/>
    <w:rsid w:val="0095084D"/>
    <w:rsid w:val="00953864"/>
    <w:rsid w:val="00954FEC"/>
    <w:rsid w:val="00960A82"/>
    <w:rsid w:val="0096249C"/>
    <w:rsid w:val="00976E89"/>
    <w:rsid w:val="009B3AAF"/>
    <w:rsid w:val="009B7EBC"/>
    <w:rsid w:val="009C2F80"/>
    <w:rsid w:val="009C550C"/>
    <w:rsid w:val="00A14019"/>
    <w:rsid w:val="00A15C60"/>
    <w:rsid w:val="00A5404D"/>
    <w:rsid w:val="00A6458E"/>
    <w:rsid w:val="00A70F16"/>
    <w:rsid w:val="00AC6E5C"/>
    <w:rsid w:val="00B32182"/>
    <w:rsid w:val="00B405A0"/>
    <w:rsid w:val="00BA39E5"/>
    <w:rsid w:val="00BD3130"/>
    <w:rsid w:val="00BE75EF"/>
    <w:rsid w:val="00C76B19"/>
    <w:rsid w:val="00CA3080"/>
    <w:rsid w:val="00CE2EE5"/>
    <w:rsid w:val="00D30F76"/>
    <w:rsid w:val="00D73AF3"/>
    <w:rsid w:val="00DC58DD"/>
    <w:rsid w:val="00DC7F4D"/>
    <w:rsid w:val="00DE61B5"/>
    <w:rsid w:val="00E64B14"/>
    <w:rsid w:val="00E76C68"/>
    <w:rsid w:val="00EA4820"/>
    <w:rsid w:val="00ED6DEE"/>
    <w:rsid w:val="00EE7B52"/>
    <w:rsid w:val="00EF5C15"/>
    <w:rsid w:val="00F27456"/>
    <w:rsid w:val="00F35130"/>
    <w:rsid w:val="00F36B16"/>
    <w:rsid w:val="00F52BAE"/>
    <w:rsid w:val="00F66DF9"/>
    <w:rsid w:val="00F74AAA"/>
    <w:rsid w:val="00F875BD"/>
    <w:rsid w:val="00FA6A12"/>
    <w:rsid w:val="00FA7BC9"/>
    <w:rsid w:val="00FD57B1"/>
    <w:rsid w:val="020D2A9E"/>
    <w:rsid w:val="04902860"/>
    <w:rsid w:val="087E4206"/>
    <w:rsid w:val="0AB108B3"/>
    <w:rsid w:val="0DA67B72"/>
    <w:rsid w:val="0DBB12A3"/>
    <w:rsid w:val="0EFC7E86"/>
    <w:rsid w:val="10B315AD"/>
    <w:rsid w:val="11F431D4"/>
    <w:rsid w:val="134D5416"/>
    <w:rsid w:val="135F0704"/>
    <w:rsid w:val="14E413C9"/>
    <w:rsid w:val="158154B6"/>
    <w:rsid w:val="188040AD"/>
    <w:rsid w:val="18D764CD"/>
    <w:rsid w:val="1B153BDC"/>
    <w:rsid w:val="1B1851FE"/>
    <w:rsid w:val="1B5A4734"/>
    <w:rsid w:val="1D3E7FAA"/>
    <w:rsid w:val="1EDC5403"/>
    <w:rsid w:val="1F0643A9"/>
    <w:rsid w:val="1FA8693F"/>
    <w:rsid w:val="20B85F9B"/>
    <w:rsid w:val="219844AC"/>
    <w:rsid w:val="23C81428"/>
    <w:rsid w:val="24501FCF"/>
    <w:rsid w:val="25B94327"/>
    <w:rsid w:val="28C37CF5"/>
    <w:rsid w:val="290954B5"/>
    <w:rsid w:val="2AD5CCAE"/>
    <w:rsid w:val="2B4E7433"/>
    <w:rsid w:val="2B8A7532"/>
    <w:rsid w:val="2C0E30CE"/>
    <w:rsid w:val="2D274072"/>
    <w:rsid w:val="2DB3715C"/>
    <w:rsid w:val="2E532352"/>
    <w:rsid w:val="2E5B2E02"/>
    <w:rsid w:val="2F3DD901"/>
    <w:rsid w:val="2F5C136D"/>
    <w:rsid w:val="31520C7C"/>
    <w:rsid w:val="33275669"/>
    <w:rsid w:val="33A543BC"/>
    <w:rsid w:val="33AE4741"/>
    <w:rsid w:val="34380AE5"/>
    <w:rsid w:val="357C060D"/>
    <w:rsid w:val="3ABB2EBC"/>
    <w:rsid w:val="3B89086D"/>
    <w:rsid w:val="3C4D370E"/>
    <w:rsid w:val="3FCE7F1A"/>
    <w:rsid w:val="44DA6C67"/>
    <w:rsid w:val="467D2CCA"/>
    <w:rsid w:val="48CA2286"/>
    <w:rsid w:val="4C64739B"/>
    <w:rsid w:val="4D212990"/>
    <w:rsid w:val="4DE006D5"/>
    <w:rsid w:val="4DF15B68"/>
    <w:rsid w:val="4E8A38FE"/>
    <w:rsid w:val="516B2D01"/>
    <w:rsid w:val="56601766"/>
    <w:rsid w:val="59291DA6"/>
    <w:rsid w:val="5A4535CC"/>
    <w:rsid w:val="5C1D513B"/>
    <w:rsid w:val="61E43AAB"/>
    <w:rsid w:val="62834A0F"/>
    <w:rsid w:val="628824B1"/>
    <w:rsid w:val="661D299D"/>
    <w:rsid w:val="6A6D4192"/>
    <w:rsid w:val="6CE26173"/>
    <w:rsid w:val="6FB42196"/>
    <w:rsid w:val="72585C86"/>
    <w:rsid w:val="77E75409"/>
    <w:rsid w:val="783F12F2"/>
    <w:rsid w:val="78715142"/>
    <w:rsid w:val="78A1551A"/>
    <w:rsid w:val="7C992D7B"/>
    <w:rsid w:val="7FFD1D42"/>
    <w:rsid w:val="DCFD57DB"/>
    <w:rsid w:val="FEDA3CF9"/>
    <w:rsid w:val="FFFF19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4">
    <w:name w:val="heading 2"/>
    <w:basedOn w:val="1"/>
    <w:next w:val="1"/>
    <w:link w:val="21"/>
    <w:qFormat/>
    <w:uiPriority w:val="0"/>
    <w:pPr>
      <w:keepNext/>
      <w:keepLines/>
      <w:spacing w:line="416" w:lineRule="auto"/>
      <w:outlineLvl w:val="1"/>
    </w:pPr>
    <w:rPr>
      <w:rFonts w:ascii="Arial" w:hAnsi="Arial" w:eastAsia="黑体"/>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qFormat/>
    <w:uiPriority w:val="0"/>
    <w:pPr>
      <w:spacing w:after="120"/>
    </w:pPr>
  </w:style>
  <w:style w:type="paragraph" w:styleId="3">
    <w:name w:val="Body Text First Indent"/>
    <w:basedOn w:val="2"/>
    <w:qFormat/>
    <w:uiPriority w:val="99"/>
    <w:pPr>
      <w:ind w:firstLine="420" w:firstLineChars="100"/>
    </w:pPr>
  </w:style>
  <w:style w:type="paragraph" w:styleId="5">
    <w:name w:val="Balloon Text"/>
    <w:basedOn w:val="1"/>
    <w:link w:val="20"/>
    <w:semiHidden/>
    <w:unhideWhenUsed/>
    <w:qFormat/>
    <w:uiPriority w:val="99"/>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6"/>
    <w:qFormat/>
    <w:uiPriority w:val="0"/>
    <w:pPr>
      <w:spacing w:after="120" w:line="480" w:lineRule="auto"/>
    </w:pPr>
  </w:style>
  <w:style w:type="table" w:styleId="10">
    <w:name w:val="Table Grid"/>
    <w:basedOn w:val="9"/>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正文文本 Char"/>
    <w:basedOn w:val="11"/>
    <w:link w:val="2"/>
    <w:qFormat/>
    <w:uiPriority w:val="0"/>
    <w:rPr>
      <w:rFonts w:ascii="Times New Roman" w:hAnsi="Times New Roman" w:eastAsia="宋体" w:cs="Times New Roman"/>
      <w:sz w:val="28"/>
      <w:szCs w:val="28"/>
    </w:rPr>
  </w:style>
  <w:style w:type="character" w:customStyle="1" w:styleId="14">
    <w:name w:val="页脚 Char"/>
    <w:basedOn w:val="11"/>
    <w:link w:val="6"/>
    <w:qFormat/>
    <w:uiPriority w:val="0"/>
    <w:rPr>
      <w:rFonts w:ascii="Times New Roman" w:hAnsi="Times New Roman" w:eastAsia="宋体" w:cs="Times New Roman"/>
      <w:sz w:val="18"/>
      <w:szCs w:val="18"/>
    </w:rPr>
  </w:style>
  <w:style w:type="character" w:customStyle="1" w:styleId="15">
    <w:name w:val="页眉 Char"/>
    <w:basedOn w:val="11"/>
    <w:link w:val="7"/>
    <w:qFormat/>
    <w:uiPriority w:val="0"/>
    <w:rPr>
      <w:rFonts w:ascii="Times New Roman" w:hAnsi="Times New Roman" w:eastAsia="宋体" w:cs="Times New Roman"/>
      <w:sz w:val="18"/>
      <w:szCs w:val="18"/>
    </w:rPr>
  </w:style>
  <w:style w:type="character" w:customStyle="1" w:styleId="16">
    <w:name w:val="正文文本 2 Char"/>
    <w:basedOn w:val="11"/>
    <w:link w:val="8"/>
    <w:qFormat/>
    <w:uiPriority w:val="0"/>
    <w:rPr>
      <w:rFonts w:ascii="Times New Roman" w:hAnsi="Times New Roman" w:eastAsia="宋体" w:cs="Times New Roman"/>
      <w:sz w:val="28"/>
      <w:szCs w:val="28"/>
    </w:rPr>
  </w:style>
  <w:style w:type="paragraph" w:customStyle="1" w:styleId="17">
    <w:name w:val="CD正文"/>
    <w:basedOn w:val="1"/>
    <w:qFormat/>
    <w:uiPriority w:val="0"/>
    <w:pPr>
      <w:spacing w:line="360" w:lineRule="auto"/>
      <w:ind w:firstLine="493"/>
      <w:jc w:val="left"/>
    </w:pPr>
    <w:rPr>
      <w:rFonts w:ascii="Calibri" w:hAnsi="Calibri"/>
      <w:sz w:val="30"/>
    </w:rPr>
  </w:style>
  <w:style w:type="paragraph" w:customStyle="1" w:styleId="18">
    <w:name w:val="！正文"/>
    <w:basedOn w:val="1"/>
    <w:qFormat/>
    <w:uiPriority w:val="0"/>
    <w:pPr>
      <w:spacing w:line="360" w:lineRule="auto"/>
      <w:ind w:firstLine="200" w:firstLineChars="200"/>
      <w:jc w:val="left"/>
    </w:pPr>
    <w:rPr>
      <w:rFonts w:ascii="华文细黑" w:hAnsi="华文细黑" w:eastAsia="华文细黑"/>
      <w:kern w:val="0"/>
      <w:sz w:val="24"/>
      <w:szCs w:val="24"/>
    </w:rPr>
  </w:style>
  <w:style w:type="paragraph" w:styleId="19">
    <w:name w:val="List Paragraph"/>
    <w:basedOn w:val="1"/>
    <w:qFormat/>
    <w:uiPriority w:val="1"/>
    <w:pPr>
      <w:ind w:firstLine="420" w:firstLineChars="200"/>
    </w:pPr>
    <w:rPr>
      <w:sz w:val="21"/>
      <w:szCs w:val="20"/>
    </w:rPr>
  </w:style>
  <w:style w:type="character" w:customStyle="1" w:styleId="20">
    <w:name w:val="批注框文本 Char"/>
    <w:basedOn w:val="11"/>
    <w:link w:val="5"/>
    <w:semiHidden/>
    <w:qFormat/>
    <w:uiPriority w:val="99"/>
    <w:rPr>
      <w:kern w:val="2"/>
      <w:sz w:val="18"/>
      <w:szCs w:val="18"/>
    </w:rPr>
  </w:style>
  <w:style w:type="character" w:customStyle="1" w:styleId="21">
    <w:name w:val="标题 2 Char"/>
    <w:link w:val="4"/>
    <w:semiHidden/>
    <w:qFormat/>
    <w:uiPriority w:val="9"/>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531</Words>
  <Characters>3033</Characters>
  <Lines>25</Lines>
  <Paragraphs>7</Paragraphs>
  <TotalTime>36</TotalTime>
  <ScaleCrop>false</ScaleCrop>
  <LinksUpToDate>false</LinksUpToDate>
  <CharactersWithSpaces>3557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2022-08-19T04:32:00Z</dcterms:created>
  <dc:creator>admin</dc:creator>
  <cp:lastModifiedBy>AOC</cp:lastModifiedBy>
  <cp:lastPrinted>2024-07-20T03:06:00Z</cp:lastPrinted>
  <dcterms:modified xsi:type="dcterms:W3CDTF">2025-10-28T07:04:05Z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A31F14FBD9D3089AB3B89268B397272A</vt:lpwstr>
  </property>
</Properties>
</file>