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宋体" w:hAnsi="宋体" w:eastAsia="仿宋_GB2312"/>
          <w:sz w:val="28"/>
          <w:szCs w:val="28"/>
          <w:highlight w:val="yellow"/>
        </w:rPr>
      </w:pPr>
      <w:bookmarkStart w:id="0" w:name="_Toc15306267"/>
    </w:p>
    <w:p>
      <w:pPr>
        <w:spacing w:line="600" w:lineRule="exact"/>
        <w:jc w:val="left"/>
        <w:outlineLvl w:val="0"/>
        <w:rPr>
          <w:rFonts w:ascii="宋体" w:hAnsi="宋体" w:eastAsia="仿宋_GB2312"/>
          <w:szCs w:val="21"/>
        </w:rPr>
      </w:pPr>
    </w:p>
    <w:p>
      <w:pPr>
        <w:spacing w:line="600" w:lineRule="exact"/>
        <w:jc w:val="center"/>
        <w:outlineLvl w:val="0"/>
        <w:rPr>
          <w:rFonts w:ascii="宋体" w:hAnsi="宋体" w:eastAsia="仿宋_GB2312"/>
          <w:sz w:val="72"/>
          <w:szCs w:val="72"/>
        </w:rPr>
      </w:pPr>
    </w:p>
    <w:p>
      <w:pPr>
        <w:spacing w:line="600" w:lineRule="exact"/>
        <w:jc w:val="center"/>
        <w:outlineLvl w:val="0"/>
        <w:rPr>
          <w:rFonts w:ascii="宋体" w:hAnsi="宋体" w:eastAsia="仿宋_GB2312"/>
          <w:sz w:val="72"/>
          <w:szCs w:val="72"/>
        </w:rPr>
      </w:pPr>
    </w:p>
    <w:p>
      <w:pPr>
        <w:adjustRightInd w:val="0"/>
        <w:snapToGrid w:val="0"/>
        <w:spacing w:line="360" w:lineRule="auto"/>
        <w:jc w:val="center"/>
        <w:outlineLvl w:val="0"/>
        <w:rPr>
          <w:rFonts w:ascii="宋体" w:hAnsi="宋体" w:eastAsia="方正小标宋简体" w:cs="方正小标宋简体"/>
          <w:sz w:val="72"/>
          <w:szCs w:val="72"/>
        </w:rPr>
      </w:pPr>
      <w:bookmarkStart w:id="1" w:name="_Toc15396475"/>
      <w:bookmarkStart w:id="2" w:name="_Toc15378441"/>
      <w:bookmarkStart w:id="3" w:name="_Toc15377193"/>
      <w:bookmarkStart w:id="4" w:name="_Toc15396597"/>
      <w:bookmarkStart w:id="5" w:name="_Toc15377425"/>
      <w:r>
        <w:rPr>
          <w:rFonts w:hint="eastAsia" w:ascii="宋体" w:hAnsi="宋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宋体" w:hAnsi="宋体" w:eastAsia="仿宋_GB2312" w:cs="方正小标宋简体"/>
          <w:b/>
          <w:bCs/>
          <w:color w:val="FF0000"/>
          <w:sz w:val="72"/>
          <w:szCs w:val="72"/>
          <w:highlight w:val="yellow"/>
        </w:rPr>
      </w:pPr>
      <w:bookmarkStart w:id="6" w:name="_Toc15377426"/>
      <w:bookmarkStart w:id="7" w:name="_Toc15396598"/>
      <w:bookmarkStart w:id="8" w:name="_Toc15378442"/>
      <w:bookmarkStart w:id="9" w:name="_Toc15396476"/>
      <w:bookmarkStart w:id="10" w:name="_Toc15377194"/>
      <w:r>
        <w:rPr>
          <w:rFonts w:hint="eastAsia" w:ascii="宋体" w:hAnsi="宋体" w:eastAsia="方正小标宋简体" w:cs="方正小标宋简体"/>
          <w:sz w:val="72"/>
          <w:szCs w:val="72"/>
        </w:rPr>
        <w:t>四川省</w:t>
      </w:r>
      <w:bookmarkEnd w:id="0"/>
      <w:bookmarkStart w:id="11" w:name="_Toc15306268"/>
      <w:r>
        <w:rPr>
          <w:rFonts w:hint="eastAsia" w:ascii="宋体" w:hAnsi="宋体" w:eastAsia="方正小标宋简体" w:cs="方正小标宋简体"/>
          <w:sz w:val="72"/>
          <w:szCs w:val="72"/>
        </w:rPr>
        <w:t>荞窝监狱单位决算</w:t>
      </w:r>
      <w:bookmarkEnd w:id="6"/>
      <w:bookmarkEnd w:id="7"/>
      <w:bookmarkEnd w:id="8"/>
      <w:bookmarkEnd w:id="9"/>
      <w:bookmarkEnd w:id="10"/>
      <w:bookmarkEnd w:id="11"/>
    </w:p>
    <w:p>
      <w:pPr>
        <w:widowControl/>
        <w:jc w:val="center"/>
        <w:rPr>
          <w:rFonts w:ascii="宋体" w:hAnsi="宋体" w:eastAsia="仿宋_GB2312"/>
          <w:sz w:val="48"/>
          <w:szCs w:val="48"/>
        </w:rPr>
      </w:pPr>
      <w:r>
        <w:rPr>
          <w:rFonts w:ascii="宋体" w:hAnsi="宋体" w:eastAsia="仿宋_GB2312"/>
          <w:sz w:val="36"/>
          <w:szCs w:val="36"/>
        </w:rPr>
        <w:br w:type="page"/>
      </w:r>
      <w:r>
        <w:rPr>
          <w:rFonts w:hint="eastAsia" w:ascii="宋体" w:hAnsi="宋体" w:eastAsia="仿宋_GB2312"/>
          <w:sz w:val="48"/>
          <w:szCs w:val="48"/>
        </w:rPr>
        <w:t>目录</w:t>
      </w:r>
    </w:p>
    <w:p>
      <w:pPr>
        <w:pStyle w:val="10"/>
        <w:rPr>
          <w:rFonts w:ascii="宋体" w:hAnsi="宋体" w:eastAsia="仿宋_GB2312"/>
        </w:rPr>
      </w:pPr>
      <w:r>
        <w:rPr>
          <w:rFonts w:hint="eastAsia" w:ascii="宋体" w:hAnsi="宋体" w:eastAsia="仿宋_GB2312"/>
        </w:rPr>
        <w:t>公开时间：2023年9月6日</w:t>
      </w:r>
    </w:p>
    <w:p>
      <w:pPr>
        <w:rPr>
          <w:rFonts w:ascii="宋体" w:hAnsi="宋体" w:eastAsia="仿宋_GB2312"/>
        </w:rPr>
      </w:pPr>
    </w:p>
    <w:p>
      <w:pPr>
        <w:pStyle w:val="10"/>
        <w:adjustRightInd w:val="0"/>
        <w:snapToGrid w:val="0"/>
        <w:spacing w:before="0" w:line="440" w:lineRule="exact"/>
        <w:jc w:val="left"/>
        <w:rPr>
          <w:rFonts w:ascii="宋体" w:hAnsi="宋体" w:eastAsia="仿宋_GB2312" w:cs="黑体"/>
          <w:sz w:val="24"/>
          <w:szCs w:val="24"/>
        </w:rPr>
      </w:pPr>
      <w:r>
        <w:rPr>
          <w:rFonts w:hint="eastAsia" w:ascii="宋体" w:hAnsi="宋体" w:eastAsia="仿宋_GB2312"/>
          <w:sz w:val="24"/>
        </w:rPr>
        <w:t>第一部分单位概况</w:t>
      </w:r>
      <w:r>
        <w:rPr>
          <w:rFonts w:hint="eastAsia" w:ascii="宋体" w:hAnsi="宋体" w:eastAsia="仿宋_GB2312"/>
          <w:sz w:val="24"/>
        </w:rPr>
        <w:tab/>
      </w:r>
      <w:r>
        <w:rPr>
          <w:rFonts w:hint="eastAsia" w:ascii="宋体" w:hAnsi="宋体" w:eastAsia="仿宋_GB2312"/>
          <w:sz w:val="24"/>
        </w:rPr>
        <w:t>4</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一、主要职责</w:t>
      </w:r>
      <w:r>
        <w:rPr>
          <w:rFonts w:hint="eastAsia" w:ascii="宋体" w:hAnsi="宋体" w:eastAsia="仿宋_GB2312"/>
          <w:sz w:val="24"/>
        </w:rPr>
        <w:tab/>
      </w:r>
      <w:r>
        <w:rPr>
          <w:rFonts w:hint="eastAsia" w:ascii="宋体" w:hAnsi="宋体" w:eastAsia="仿宋_GB2312"/>
          <w:sz w:val="24"/>
        </w:rPr>
        <w:t>4</w:t>
      </w:r>
    </w:p>
    <w:p>
      <w:pPr>
        <w:pStyle w:val="11"/>
        <w:adjustRightInd w:val="0"/>
        <w:snapToGrid w:val="0"/>
        <w:spacing w:line="440" w:lineRule="exact"/>
        <w:jc w:val="left"/>
        <w:rPr>
          <w:rFonts w:ascii="宋体" w:hAnsi="宋体" w:eastAsia="仿宋_GB2312"/>
        </w:rPr>
      </w:pPr>
      <w:r>
        <w:rPr>
          <w:rFonts w:hint="eastAsia" w:ascii="宋体" w:hAnsi="宋体" w:eastAsia="仿宋_GB2312"/>
          <w:sz w:val="24"/>
        </w:rPr>
        <w:t>二、机构设置</w:t>
      </w:r>
      <w:r>
        <w:rPr>
          <w:rFonts w:hint="eastAsia" w:ascii="宋体" w:hAnsi="宋体" w:eastAsia="仿宋_GB2312"/>
          <w:sz w:val="24"/>
        </w:rPr>
        <w:tab/>
      </w:r>
      <w:r>
        <w:rPr>
          <w:rFonts w:hint="eastAsia" w:ascii="宋体" w:hAnsi="宋体" w:eastAsia="仿宋_GB2312"/>
          <w:sz w:val="24"/>
        </w:rPr>
        <w:t>4</w:t>
      </w:r>
    </w:p>
    <w:p>
      <w:pPr>
        <w:pStyle w:val="10"/>
        <w:adjustRightInd w:val="0"/>
        <w:snapToGrid w:val="0"/>
        <w:spacing w:before="0" w:line="440" w:lineRule="exact"/>
        <w:jc w:val="left"/>
        <w:rPr>
          <w:rFonts w:ascii="宋体" w:hAnsi="宋体" w:eastAsia="仿宋_GB2312"/>
          <w:sz w:val="24"/>
          <w:szCs w:val="24"/>
        </w:rPr>
      </w:pPr>
      <w:r>
        <w:rPr>
          <w:rFonts w:hint="eastAsia" w:ascii="宋体" w:hAnsi="宋体" w:eastAsia="仿宋_GB2312"/>
          <w:sz w:val="24"/>
        </w:rPr>
        <w:t>第二部分 2022年度单位决算情况说明</w:t>
      </w:r>
      <w:r>
        <w:rPr>
          <w:rFonts w:hint="eastAsia" w:ascii="宋体" w:hAnsi="宋体" w:eastAsia="仿宋_GB2312"/>
          <w:sz w:val="24"/>
        </w:rPr>
        <w:tab/>
      </w:r>
      <w:r>
        <w:rPr>
          <w:rFonts w:hint="eastAsia" w:ascii="宋体" w:hAnsi="宋体" w:eastAsia="仿宋_GB2312"/>
          <w:sz w:val="24"/>
        </w:rPr>
        <w:t>5</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一、收入支出决算总体情况说明</w:t>
      </w:r>
      <w:r>
        <w:rPr>
          <w:rFonts w:hint="eastAsia" w:ascii="宋体" w:hAnsi="宋体" w:eastAsia="仿宋_GB2312"/>
          <w:sz w:val="24"/>
        </w:rPr>
        <w:tab/>
      </w:r>
      <w:r>
        <w:rPr>
          <w:rFonts w:hint="eastAsia" w:ascii="宋体" w:hAnsi="宋体" w:eastAsia="仿宋_GB2312"/>
          <w:sz w:val="24"/>
        </w:rPr>
        <w:t>5</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二、收入决算情况说明</w:t>
      </w:r>
      <w:r>
        <w:rPr>
          <w:rFonts w:hint="eastAsia" w:ascii="宋体" w:hAnsi="宋体" w:eastAsia="仿宋_GB2312"/>
          <w:sz w:val="24"/>
        </w:rPr>
        <w:tab/>
      </w:r>
      <w:r>
        <w:rPr>
          <w:rFonts w:hint="eastAsia" w:ascii="宋体" w:hAnsi="宋体" w:eastAsia="仿宋_GB2312"/>
          <w:sz w:val="24"/>
        </w:rPr>
        <w:t>5</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三、支出决算情况说明</w:t>
      </w:r>
      <w:r>
        <w:rPr>
          <w:rFonts w:hint="eastAsia" w:ascii="宋体" w:hAnsi="宋体" w:eastAsia="仿宋_GB2312"/>
          <w:sz w:val="24"/>
        </w:rPr>
        <w:tab/>
      </w:r>
      <w:r>
        <w:rPr>
          <w:rFonts w:hint="eastAsia" w:ascii="宋体" w:hAnsi="宋体" w:eastAsia="仿宋_GB2312"/>
          <w:sz w:val="24"/>
        </w:rPr>
        <w:t>6</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四、财政拨款收入支出决算总体情况说明</w:t>
      </w:r>
      <w:r>
        <w:rPr>
          <w:rFonts w:hint="eastAsia" w:ascii="宋体" w:hAnsi="宋体" w:eastAsia="仿宋_GB2312"/>
          <w:sz w:val="24"/>
        </w:rPr>
        <w:tab/>
      </w:r>
      <w:r>
        <w:rPr>
          <w:rFonts w:hint="eastAsia" w:ascii="宋体" w:hAnsi="宋体" w:eastAsia="仿宋_GB2312"/>
          <w:sz w:val="24"/>
        </w:rPr>
        <w:t>6</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五、一般公共预算财政拨款支出决算情况说明</w:t>
      </w:r>
      <w:r>
        <w:rPr>
          <w:rFonts w:hint="eastAsia" w:ascii="宋体" w:hAnsi="宋体" w:eastAsia="仿宋_GB2312"/>
          <w:sz w:val="24"/>
        </w:rPr>
        <w:tab/>
      </w:r>
      <w:r>
        <w:rPr>
          <w:rFonts w:ascii="宋体" w:hAnsi="宋体" w:eastAsia="仿宋_GB2312"/>
          <w:sz w:val="24"/>
        </w:rPr>
        <w:t>8</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六、一般公共预算财政拨款基本支出决算情况说明</w:t>
      </w:r>
      <w:r>
        <w:rPr>
          <w:rFonts w:hint="eastAsia" w:ascii="宋体" w:hAnsi="宋体" w:eastAsia="仿宋_GB2312"/>
          <w:sz w:val="24"/>
        </w:rPr>
        <w:tab/>
      </w:r>
      <w:r>
        <w:rPr>
          <w:rFonts w:hint="eastAsia" w:ascii="宋体" w:hAnsi="宋体" w:eastAsia="仿宋_GB2312"/>
          <w:sz w:val="24"/>
        </w:rPr>
        <w:t>9</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七、财政拨款“三公”经费支出决算情况说明</w:t>
      </w:r>
      <w:r>
        <w:rPr>
          <w:rFonts w:hint="eastAsia" w:ascii="宋体" w:hAnsi="宋体" w:eastAsia="仿宋_GB2312"/>
          <w:sz w:val="24"/>
        </w:rPr>
        <w:tab/>
      </w:r>
      <w:r>
        <w:rPr>
          <w:rFonts w:hint="eastAsia" w:ascii="宋体" w:hAnsi="宋体" w:eastAsia="仿宋_GB2312"/>
          <w:sz w:val="24"/>
        </w:rPr>
        <w:t>1</w:t>
      </w:r>
      <w:r>
        <w:rPr>
          <w:rFonts w:ascii="宋体" w:hAnsi="宋体" w:eastAsia="仿宋_GB2312"/>
          <w:sz w:val="24"/>
        </w:rPr>
        <w:t>1</w:t>
      </w:r>
    </w:p>
    <w:p>
      <w:pPr>
        <w:pStyle w:val="11"/>
        <w:adjustRightInd w:val="0"/>
        <w:snapToGrid w:val="0"/>
        <w:spacing w:line="440" w:lineRule="exact"/>
        <w:jc w:val="left"/>
        <w:rPr>
          <w:rFonts w:ascii="宋体" w:hAnsi="宋体" w:eastAsia="仿宋_GB2312" w:cs="黑体"/>
          <w:sz w:val="24"/>
        </w:rPr>
      </w:pPr>
      <w:r>
        <w:rPr>
          <w:rFonts w:hint="eastAsia" w:ascii="宋体" w:hAnsi="宋体" w:eastAsia="仿宋_GB2312"/>
          <w:sz w:val="24"/>
        </w:rPr>
        <w:t>八、政府性基金预算支出决算情况说明</w:t>
      </w:r>
      <w:r>
        <w:rPr>
          <w:rFonts w:hint="eastAsia" w:ascii="宋体" w:hAnsi="宋体" w:eastAsia="仿宋_GB2312"/>
          <w:sz w:val="24"/>
        </w:rPr>
        <w:tab/>
      </w:r>
      <w:r>
        <w:rPr>
          <w:rFonts w:hint="eastAsia" w:ascii="宋体" w:hAnsi="宋体" w:eastAsia="仿宋_GB2312"/>
          <w:sz w:val="24"/>
        </w:rPr>
        <w:t>1</w:t>
      </w:r>
      <w:r>
        <w:rPr>
          <w:rFonts w:ascii="宋体" w:hAnsi="宋体" w:eastAsia="仿宋_GB2312"/>
          <w:sz w:val="24"/>
        </w:rPr>
        <w:t>1</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九、国有资本经营预算支出决算情况说明</w:t>
      </w:r>
      <w:r>
        <w:rPr>
          <w:rFonts w:hint="eastAsia" w:ascii="宋体" w:hAnsi="宋体" w:eastAsia="仿宋_GB2312"/>
          <w:sz w:val="24"/>
        </w:rPr>
        <w:tab/>
      </w:r>
      <w:r>
        <w:rPr>
          <w:rFonts w:hint="eastAsia" w:ascii="宋体" w:hAnsi="宋体" w:eastAsia="仿宋_GB2312"/>
          <w:sz w:val="24"/>
        </w:rPr>
        <w:t>1</w:t>
      </w:r>
      <w:r>
        <w:rPr>
          <w:rFonts w:ascii="宋体" w:hAnsi="宋体" w:eastAsia="仿宋_GB2312"/>
          <w:sz w:val="24"/>
        </w:rPr>
        <w:t>1</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十、其他重要事项的情况说明</w:t>
      </w:r>
      <w:r>
        <w:rPr>
          <w:rFonts w:hint="eastAsia" w:ascii="宋体" w:hAnsi="宋体" w:eastAsia="仿宋_GB2312"/>
          <w:sz w:val="24"/>
        </w:rPr>
        <w:tab/>
      </w:r>
      <w:r>
        <w:rPr>
          <w:rFonts w:hint="eastAsia" w:ascii="宋体" w:hAnsi="宋体" w:eastAsia="仿宋_GB2312"/>
          <w:sz w:val="24"/>
        </w:rPr>
        <w:t>12</w:t>
      </w:r>
    </w:p>
    <w:p>
      <w:pPr>
        <w:pStyle w:val="10"/>
        <w:adjustRightInd w:val="0"/>
        <w:snapToGrid w:val="0"/>
        <w:spacing w:before="0" w:line="440" w:lineRule="exact"/>
        <w:jc w:val="left"/>
        <w:rPr>
          <w:rFonts w:ascii="宋体" w:hAnsi="宋体" w:eastAsia="仿宋_GB2312" w:cs="黑体"/>
          <w:sz w:val="24"/>
          <w:szCs w:val="24"/>
        </w:rPr>
      </w:pPr>
      <w:r>
        <w:rPr>
          <w:rFonts w:hint="eastAsia" w:ascii="宋体" w:hAnsi="宋体" w:eastAsia="仿宋_GB2312"/>
          <w:sz w:val="24"/>
        </w:rPr>
        <w:t>第三部分名词解释</w:t>
      </w:r>
      <w:r>
        <w:rPr>
          <w:rFonts w:hint="eastAsia" w:ascii="宋体" w:hAnsi="宋体" w:eastAsia="仿宋_GB2312"/>
          <w:sz w:val="24"/>
        </w:rPr>
        <w:tab/>
      </w:r>
      <w:r>
        <w:rPr>
          <w:rFonts w:hint="eastAsia" w:ascii="宋体" w:hAnsi="宋体" w:eastAsia="仿宋_GB2312"/>
          <w:sz w:val="24"/>
        </w:rPr>
        <w:t>1</w:t>
      </w:r>
      <w:r>
        <w:rPr>
          <w:rFonts w:ascii="宋体" w:hAnsi="宋体" w:eastAsia="仿宋_GB2312"/>
          <w:sz w:val="24"/>
        </w:rPr>
        <w:t>5</w:t>
      </w:r>
    </w:p>
    <w:p>
      <w:pPr>
        <w:pStyle w:val="10"/>
        <w:adjustRightInd w:val="0"/>
        <w:snapToGrid w:val="0"/>
        <w:spacing w:before="0" w:line="440" w:lineRule="exact"/>
        <w:jc w:val="left"/>
        <w:rPr>
          <w:rFonts w:ascii="宋体" w:hAnsi="宋体" w:eastAsia="仿宋_GB2312" w:cs="黑体"/>
          <w:sz w:val="24"/>
          <w:szCs w:val="24"/>
        </w:rPr>
      </w:pPr>
      <w:r>
        <w:rPr>
          <w:rFonts w:hint="eastAsia" w:ascii="宋体" w:hAnsi="宋体" w:eastAsia="仿宋_GB2312"/>
          <w:sz w:val="24"/>
        </w:rPr>
        <w:t>第四部分附件</w:t>
      </w:r>
      <w:r>
        <w:rPr>
          <w:rFonts w:hint="eastAsia" w:ascii="宋体" w:hAnsi="宋体" w:eastAsia="仿宋_GB2312"/>
          <w:sz w:val="24"/>
        </w:rPr>
        <w:tab/>
      </w:r>
      <w:r>
        <w:rPr>
          <w:rFonts w:hint="eastAsia" w:ascii="宋体" w:hAnsi="宋体" w:eastAsia="仿宋_GB2312"/>
          <w:sz w:val="24"/>
        </w:rPr>
        <w:t>17</w:t>
      </w:r>
    </w:p>
    <w:p>
      <w:pPr>
        <w:pStyle w:val="10"/>
        <w:adjustRightInd w:val="0"/>
        <w:snapToGrid w:val="0"/>
        <w:spacing w:before="0" w:line="440" w:lineRule="exact"/>
        <w:jc w:val="left"/>
        <w:rPr>
          <w:rFonts w:ascii="宋体" w:hAnsi="宋体" w:eastAsia="仿宋_GB2312" w:cs="黑体"/>
          <w:sz w:val="24"/>
          <w:szCs w:val="24"/>
        </w:rPr>
      </w:pPr>
      <w:r>
        <w:rPr>
          <w:rFonts w:hint="eastAsia" w:ascii="宋体" w:hAnsi="宋体" w:eastAsia="仿宋_GB2312"/>
          <w:sz w:val="24"/>
        </w:rPr>
        <w:t>第五部分附表</w:t>
      </w:r>
      <w:r>
        <w:rPr>
          <w:rFonts w:hint="eastAsia" w:ascii="宋体" w:hAnsi="宋体" w:eastAsia="仿宋_GB2312"/>
          <w:sz w:val="24"/>
        </w:rPr>
        <w:tab/>
      </w:r>
      <w:r>
        <w:rPr>
          <w:rFonts w:hint="eastAsia" w:ascii="宋体" w:hAnsi="宋体" w:eastAsia="仿宋_GB2312"/>
          <w:sz w:val="24"/>
        </w:rPr>
        <w:t>1</w:t>
      </w:r>
      <w:r>
        <w:rPr>
          <w:rFonts w:ascii="宋体" w:hAnsi="宋体" w:eastAsia="仿宋_GB2312"/>
          <w:sz w:val="24"/>
        </w:rPr>
        <w:t>8</w:t>
      </w:r>
    </w:p>
    <w:p>
      <w:pPr>
        <w:pStyle w:val="11"/>
        <w:numPr>
          <w:ilvl w:val="0"/>
          <w:numId w:val="1"/>
        </w:numPr>
        <w:adjustRightInd w:val="0"/>
        <w:snapToGrid w:val="0"/>
        <w:spacing w:line="440" w:lineRule="exact"/>
        <w:jc w:val="left"/>
        <w:rPr>
          <w:rFonts w:ascii="宋体" w:hAnsi="宋体"/>
        </w:rPr>
      </w:pPr>
      <w:r>
        <w:rPr>
          <w:rFonts w:hint="eastAsia" w:ascii="宋体" w:hAnsi="宋体" w:eastAsia="仿宋_GB2312"/>
          <w:sz w:val="24"/>
        </w:rPr>
        <w:t>收入支出决算总表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二、收入决算表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三、支出决算表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四、财政拨款收入支出决算总表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五、财政拨款支出决算明细表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六、一般公共预算财政拨款支出决算表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七、一般公共预算财政拨款支出决算明细表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八、一般公共预算财政拨款基本支出决算明细表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九、一般公共预算财政拨款项目支出决算表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十、政府性基金预算财政拨款收入支出决算表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十一、国有资本经营预算财政拨款收入支出决算表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十二、国有资本经营预算财政拨款支出决算表</w:t>
      </w:r>
      <w:r>
        <w:rPr>
          <w:rFonts w:hint="eastAsia" w:ascii="宋体" w:hAnsi="宋体" w:eastAsia="仿宋_GB2312"/>
          <w:sz w:val="24"/>
        </w:rPr>
        <w:tab/>
      </w:r>
      <w:r>
        <w:rPr>
          <w:rFonts w:hint="eastAsia" w:ascii="宋体" w:hAnsi="宋体" w:eastAsia="仿宋_GB2312"/>
          <w:sz w:val="24"/>
        </w:rPr>
        <w:t>18</w:t>
      </w:r>
    </w:p>
    <w:p>
      <w:pPr>
        <w:pStyle w:val="11"/>
        <w:adjustRightInd w:val="0"/>
        <w:snapToGrid w:val="0"/>
        <w:spacing w:line="440" w:lineRule="exact"/>
        <w:jc w:val="left"/>
        <w:rPr>
          <w:rFonts w:ascii="宋体" w:hAnsi="宋体" w:eastAsia="仿宋_GB2312"/>
          <w:sz w:val="24"/>
        </w:rPr>
      </w:pPr>
      <w:r>
        <w:rPr>
          <w:rFonts w:hint="eastAsia" w:ascii="宋体" w:hAnsi="宋体" w:eastAsia="仿宋_GB2312"/>
          <w:sz w:val="24"/>
        </w:rPr>
        <w:t>十三、财政拨款“三公”经费支出决算表</w:t>
      </w:r>
      <w:r>
        <w:rPr>
          <w:rFonts w:hint="eastAsia" w:ascii="宋体" w:hAnsi="宋体" w:eastAsia="仿宋_GB2312"/>
          <w:sz w:val="24"/>
        </w:rPr>
        <w:tab/>
      </w:r>
      <w:r>
        <w:rPr>
          <w:rFonts w:hint="eastAsia" w:ascii="宋体" w:hAnsi="宋体" w:eastAsia="仿宋_GB2312"/>
          <w:sz w:val="24"/>
        </w:rPr>
        <w:t>18</w:t>
      </w:r>
    </w:p>
    <w:p>
      <w:pPr>
        <w:widowControl/>
        <w:spacing w:line="440" w:lineRule="exact"/>
        <w:jc w:val="center"/>
        <w:rPr>
          <w:rFonts w:ascii="宋体" w:hAnsi="宋体" w:eastAsia="仿宋_GB2312"/>
          <w:sz w:val="44"/>
          <w:szCs w:val="44"/>
        </w:rPr>
      </w:pPr>
      <w:bookmarkStart w:id="12" w:name="_Toc15396599"/>
      <w:bookmarkStart w:id="13" w:name="_Toc15377196"/>
      <w:r>
        <w:rPr>
          <w:rFonts w:ascii="宋体" w:hAnsi="宋体" w:eastAsia="仿宋_GB2312"/>
          <w:b/>
          <w:sz w:val="24"/>
        </w:rPr>
        <w:br w:type="page"/>
      </w:r>
      <w:r>
        <w:rPr>
          <w:rFonts w:hint="eastAsia" w:ascii="宋体" w:hAnsi="宋体" w:eastAsia="黑体"/>
          <w:bCs/>
          <w:kern w:val="44"/>
          <w:sz w:val="44"/>
          <w:szCs w:val="44"/>
        </w:rPr>
        <w:t>第一部分 单位概况</w:t>
      </w:r>
      <w:bookmarkEnd w:id="12"/>
      <w:bookmarkEnd w:id="13"/>
    </w:p>
    <w:p>
      <w:pPr>
        <w:widowControl/>
        <w:spacing w:line="440" w:lineRule="exact"/>
        <w:jc w:val="center"/>
        <w:rPr>
          <w:rStyle w:val="27"/>
          <w:rFonts w:ascii="宋体" w:hAnsi="宋体"/>
        </w:rPr>
      </w:pPr>
    </w:p>
    <w:p>
      <w:pPr>
        <w:numPr>
          <w:ilvl w:val="0"/>
          <w:numId w:val="2"/>
        </w:numPr>
        <w:rPr>
          <w:rFonts w:ascii="宋体" w:hAnsi="宋体" w:eastAsia="黑体"/>
          <w:b/>
          <w:bCs/>
          <w:sz w:val="32"/>
          <w:szCs w:val="32"/>
        </w:rPr>
      </w:pPr>
      <w:bookmarkStart w:id="14" w:name="_Toc15377197"/>
      <w:bookmarkStart w:id="15" w:name="_Toc15396600"/>
      <w:r>
        <w:rPr>
          <w:rFonts w:hint="eastAsia" w:ascii="宋体" w:hAnsi="宋体" w:eastAsia="黑体"/>
          <w:b/>
          <w:bCs/>
          <w:sz w:val="32"/>
          <w:szCs w:val="32"/>
        </w:rPr>
        <w:t>主要职责</w:t>
      </w:r>
    </w:p>
    <w:p>
      <w:pPr>
        <w:ind w:firstLine="640" w:firstLineChars="200"/>
        <w:rPr>
          <w:rFonts w:ascii="宋体" w:hAnsi="宋体" w:eastAsia="仿宋_GB2312"/>
          <w:sz w:val="32"/>
          <w:szCs w:val="32"/>
        </w:rPr>
      </w:pPr>
      <w:bookmarkStart w:id="67" w:name="_GoBack"/>
      <w:bookmarkEnd w:id="67"/>
      <w:r>
        <w:rPr>
          <w:rFonts w:hint="eastAsia" w:ascii="宋体" w:hAnsi="宋体" w:eastAsia="仿宋_GB2312"/>
          <w:bCs/>
          <w:sz w:val="32"/>
          <w:szCs w:val="32"/>
        </w:rPr>
        <w:t>荞窝监狱</w:t>
      </w:r>
      <w:r>
        <w:rPr>
          <w:rFonts w:hint="eastAsia" w:ascii="宋体" w:hAnsi="宋体" w:eastAsia="仿宋_GB2312"/>
          <w:sz w:val="32"/>
          <w:szCs w:val="32"/>
        </w:rPr>
        <w:t>贯彻执行国家有关监狱工作的方针、政策、法律、法规，按照四川省监狱管理局制定的政策法规，依法开展监狱行政工作，落实行政执法责任。依法开展监狱刑罚执行、狱政管理、狱内侦查、以及各项突发事件处置，维护监管安全稳定。切实担负起时代重任，奋力新作为，实现新发展，力争把荞窝监狱早日建成法德兼治的新型现代文明监狱，为建设美丽繁荣和谐四川，推动治蜀兴川再上新台阶作出新的更大的贡献。</w:t>
      </w:r>
    </w:p>
    <w:p>
      <w:pPr>
        <w:numPr>
          <w:ilvl w:val="0"/>
          <w:numId w:val="2"/>
        </w:numPr>
        <w:rPr>
          <w:rFonts w:ascii="宋体" w:hAnsi="宋体" w:eastAsia="黑体"/>
          <w:b/>
          <w:bCs/>
          <w:sz w:val="32"/>
          <w:szCs w:val="32"/>
        </w:rPr>
      </w:pPr>
      <w:r>
        <w:rPr>
          <w:rFonts w:hint="eastAsia" w:ascii="宋体" w:hAnsi="宋体" w:eastAsia="黑体"/>
          <w:b/>
          <w:bCs/>
          <w:sz w:val="32"/>
          <w:szCs w:val="32"/>
        </w:rPr>
        <w:t>机构设置</w:t>
      </w:r>
    </w:p>
    <w:p>
      <w:pPr>
        <w:rPr>
          <w:rFonts w:ascii="宋体" w:hAnsi="宋体" w:eastAsia="仿宋_GB2312"/>
          <w:sz w:val="32"/>
          <w:szCs w:val="32"/>
        </w:rPr>
      </w:pPr>
      <w:r>
        <w:rPr>
          <w:rFonts w:hint="eastAsia" w:ascii="宋体" w:hAnsi="宋体" w:eastAsia="仿宋_GB2312"/>
          <w:sz w:val="32"/>
          <w:szCs w:val="32"/>
        </w:rPr>
        <w:t xml:space="preserve">    监狱内设机构</w:t>
      </w:r>
      <w:r>
        <w:rPr>
          <w:rFonts w:ascii="宋体" w:hAnsi="宋体" w:eastAsia="仿宋_GB2312"/>
          <w:sz w:val="32"/>
          <w:szCs w:val="32"/>
        </w:rPr>
        <w:t>22</w:t>
      </w:r>
      <w:r>
        <w:rPr>
          <w:rFonts w:hint="eastAsia" w:ascii="宋体" w:hAnsi="宋体" w:eastAsia="仿宋_GB2312"/>
          <w:sz w:val="32"/>
          <w:szCs w:val="32"/>
        </w:rPr>
        <w:t>个。机关科室19个含:办公室，政治处，组织人事科，宣传培训科，离退休人员管理科，政策法规与信访科，警务督查科，纪检监察科，信息技术科，审计科，财务与工资福利科，信息技术科，狱政管理科，狱内侦查科，刑罚执行科，生活卫生科，教育改造科，工会委员会，环境保护与劳动安全科；辅助执法机构3个包括：医院、勤务大队、特警队</w:t>
      </w:r>
      <w:bookmarkEnd w:id="14"/>
      <w:bookmarkEnd w:id="15"/>
      <w:r>
        <w:rPr>
          <w:rFonts w:hint="eastAsia" w:ascii="宋体" w:hAnsi="宋体" w:eastAsia="仿宋_GB2312"/>
          <w:sz w:val="32"/>
          <w:szCs w:val="32"/>
        </w:rPr>
        <w:t>。</w:t>
      </w:r>
    </w:p>
    <w:p>
      <w:pPr>
        <w:rPr>
          <w:rFonts w:ascii="宋体" w:hAnsi="宋体" w:eastAsia="仿宋_GB2312"/>
          <w:sz w:val="32"/>
          <w:szCs w:val="32"/>
          <w:highlight w:val="yellow"/>
        </w:rPr>
      </w:pPr>
    </w:p>
    <w:p>
      <w:pPr>
        <w:pStyle w:val="2"/>
        <w:ind w:right="440"/>
        <w:jc w:val="center"/>
        <w:rPr>
          <w:rFonts w:ascii="宋体" w:hAnsi="宋体" w:eastAsia="黑体" w:cs="黑体"/>
        </w:rPr>
      </w:pPr>
      <w:bookmarkStart w:id="16" w:name="_Toc15377204"/>
      <w:bookmarkStart w:id="17" w:name="_Toc15396602"/>
      <w:r>
        <w:rPr>
          <w:rFonts w:hint="eastAsia" w:ascii="宋体" w:hAnsi="宋体" w:eastAsia="黑体" w:cs="黑体"/>
          <w:b w:val="0"/>
        </w:rPr>
        <w:t>第二部分 2022年度</w:t>
      </w:r>
      <w:r>
        <w:rPr>
          <w:rStyle w:val="27"/>
          <w:rFonts w:hint="eastAsia" w:ascii="宋体" w:hAnsi="宋体" w:eastAsia="黑体" w:cs="黑体"/>
          <w:b w:val="0"/>
          <w:bCs/>
        </w:rPr>
        <w:t>单位决算情况说明</w:t>
      </w:r>
      <w:bookmarkEnd w:id="16"/>
      <w:bookmarkEnd w:id="17"/>
    </w:p>
    <w:p>
      <w:pPr>
        <w:pStyle w:val="18"/>
        <w:spacing w:line="600" w:lineRule="exact"/>
        <w:ind w:left="1360" w:hanging="720" w:firstLineChars="0"/>
        <w:outlineLvl w:val="1"/>
        <w:rPr>
          <w:rStyle w:val="28"/>
          <w:rFonts w:ascii="宋体" w:hAnsi="宋体" w:eastAsia="黑体"/>
          <w:b w:val="0"/>
        </w:rPr>
      </w:pPr>
      <w:bookmarkStart w:id="18" w:name="_Toc15396603"/>
      <w:bookmarkStart w:id="19" w:name="_Toc15377205"/>
      <w:r>
        <w:rPr>
          <w:rFonts w:ascii="宋体" w:hAnsi="宋体" w:eastAsia="黑体" w:cs="黑体"/>
          <w:bCs/>
          <w:sz w:val="32"/>
          <w:szCs w:val="32"/>
        </w:rPr>
        <w:t>一、</w:t>
      </w:r>
      <w:r>
        <w:rPr>
          <w:rFonts w:hint="eastAsia" w:ascii="宋体" w:hAnsi="宋体" w:eastAsia="黑体"/>
          <w:sz w:val="32"/>
          <w:szCs w:val="32"/>
        </w:rPr>
        <w:t>收</w:t>
      </w:r>
      <w:r>
        <w:rPr>
          <w:rStyle w:val="28"/>
          <w:rFonts w:hint="eastAsia" w:ascii="宋体" w:hAnsi="宋体" w:eastAsia="黑体"/>
          <w:b w:val="0"/>
        </w:rPr>
        <w:t>入支出决算总体情况说明</w:t>
      </w:r>
      <w:bookmarkEnd w:id="18"/>
      <w:bookmarkEnd w:id="19"/>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2022年度收、支总计22,733.30万元。与2021年相比，收、支总计各增加2,614.90万元，增长13.00</w:t>
      </w:r>
      <w:r>
        <w:rPr>
          <w:rFonts w:ascii="宋体" w:hAnsi="宋体" w:eastAsia="仿宋_GB2312"/>
          <w:sz w:val="32"/>
          <w:szCs w:val="32"/>
        </w:rPr>
        <w:t>%</w:t>
      </w:r>
      <w:r>
        <w:rPr>
          <w:rFonts w:hint="eastAsia" w:ascii="宋体" w:hAnsi="宋体" w:eastAsia="仿宋_GB2312"/>
          <w:sz w:val="32"/>
          <w:szCs w:val="32"/>
        </w:rPr>
        <w:t>。主要变动原因是人员经费增加。</w:t>
      </w:r>
    </w:p>
    <w:p>
      <w:pPr>
        <w:pStyle w:val="18"/>
        <w:spacing w:line="600" w:lineRule="exact"/>
        <w:ind w:left="1360" w:hanging="720" w:firstLineChars="0"/>
        <w:jc w:val="left"/>
        <w:outlineLvl w:val="1"/>
        <w:rPr>
          <w:rStyle w:val="28"/>
          <w:rFonts w:ascii="宋体" w:hAnsi="宋体" w:eastAsia="黑体"/>
          <w:b w:val="0"/>
        </w:rPr>
      </w:pPr>
      <w:bookmarkStart w:id="20" w:name="_Toc15377206"/>
      <w:bookmarkStart w:id="21" w:name="_Toc15396604"/>
      <w:r>
        <w:rPr>
          <w:rFonts w:ascii="宋体" w:hAnsi="宋体" w:eastAsia="黑体"/>
          <w:kern w:val="0"/>
          <w:sz w:val="30"/>
          <w:bdr w:val="single" w:color="auto" w:sz="4" w:space="0"/>
        </w:rPr>
        <w:pict>
          <v:shape id="Picture 1" o:spid="_x0000_s1027" o:spt="75" type="#_x0000_t75" style="position:absolute;left:0pt;margin-left:217pt;margin-top:252.75pt;height:168.9pt;width:182.5pt;mso-position-horizontal-relative:page;mso-position-vertical-relative:page;mso-wrap-distance-bottom:0pt;mso-wrap-distance-top:0pt;z-index:251662336;mso-width-relative:page;mso-height-relative:page;" filled="f" o:preferrelative="t" stroked="f" coordsize="21600,21600">
            <v:path/>
            <v:fill on="f" focussize="0,0"/>
            <v:stroke on="f" joinstyle="miter"/>
            <v:imagedata r:id="rId7" o:title=""/>
            <o:lock v:ext="edit" aspectratio="t"/>
            <w10:wrap type="topAndBottom"/>
          </v:shape>
        </w:pict>
      </w:r>
      <w:r>
        <w:rPr>
          <w:rFonts w:ascii="宋体" w:hAnsi="宋体" w:eastAsia="黑体" w:cs="黑体"/>
          <w:bCs/>
          <w:sz w:val="32"/>
          <w:szCs w:val="32"/>
        </w:rPr>
        <w:t>二、</w:t>
      </w:r>
      <w:r>
        <w:rPr>
          <w:rFonts w:hint="eastAsia" w:ascii="宋体" w:hAnsi="宋体" w:eastAsia="黑体"/>
          <w:sz w:val="32"/>
          <w:szCs w:val="32"/>
        </w:rPr>
        <w:t>收</w:t>
      </w:r>
      <w:r>
        <w:rPr>
          <w:rStyle w:val="28"/>
          <w:rFonts w:hint="eastAsia" w:ascii="宋体" w:hAnsi="宋体" w:eastAsia="黑体"/>
          <w:b w:val="0"/>
        </w:rPr>
        <w:t>入决算情况说明</w:t>
      </w:r>
      <w:bookmarkEnd w:id="20"/>
      <w:bookmarkEnd w:id="21"/>
    </w:p>
    <w:p>
      <w:pPr>
        <w:spacing w:line="600" w:lineRule="exact"/>
        <w:ind w:firstLine="600" w:firstLineChars="200"/>
        <w:outlineLvl w:val="1"/>
        <w:rPr>
          <w:rFonts w:ascii="宋体" w:hAnsi="宋体" w:eastAsia="仿宋_GB2312"/>
          <w:sz w:val="32"/>
          <w:szCs w:val="32"/>
        </w:rPr>
      </w:pPr>
      <w:r>
        <w:rPr>
          <w:rFonts w:ascii="宋体" w:hAnsi="宋体" w:eastAsia="仿宋_GB2312"/>
          <w:kern w:val="0"/>
          <w:sz w:val="30"/>
          <w:bdr w:val="single" w:color="auto" w:sz="4" w:space="0"/>
        </w:rPr>
        <w:pict>
          <v:shape id="Picture 2" o:spid="_x0000_s1028" o:spt="75" type="#_x0000_t75" style="position:absolute;left:0pt;margin-left:204.25pt;margin-top:547.3pt;height:180.35pt;width:194.85pt;mso-position-horizontal-relative:page;mso-position-vertical-relative:page;mso-wrap-distance-bottom:0pt;mso-wrap-distance-top:0pt;z-index:251663360;mso-width-relative:page;mso-height-relative:page;" filled="f" o:preferrelative="t" stroked="f" coordsize="21600,21600">
            <v:path/>
            <v:fill on="f" focussize="0,0"/>
            <v:stroke on="f" joinstyle="miter"/>
            <v:imagedata r:id="rId8" o:title=""/>
            <o:lock v:ext="edit" aspectratio="t"/>
            <w10:wrap type="topAndBottom"/>
          </v:shape>
        </w:pict>
      </w:r>
      <w:r>
        <w:rPr>
          <w:rFonts w:ascii="宋体" w:hAnsi="宋体" w:eastAsia="仿宋_GB2312"/>
          <w:sz w:val="32"/>
          <w:szCs w:val="32"/>
        </w:rPr>
        <w:t>20</w:t>
      </w:r>
      <w:r>
        <w:rPr>
          <w:rFonts w:hint="eastAsia" w:ascii="宋体" w:hAnsi="宋体" w:eastAsia="仿宋_GB2312"/>
          <w:sz w:val="32"/>
          <w:szCs w:val="32"/>
        </w:rPr>
        <w:t>22年本年收入合计22,650.00万元，其中：一般公共预算财政拨款收入22,556.60万元，占99.59</w:t>
      </w:r>
      <w:r>
        <w:rPr>
          <w:rFonts w:ascii="宋体" w:hAnsi="宋体" w:eastAsia="仿宋_GB2312"/>
          <w:sz w:val="32"/>
          <w:szCs w:val="32"/>
        </w:rPr>
        <w:t>%</w:t>
      </w:r>
      <w:r>
        <w:rPr>
          <w:rFonts w:hint="eastAsia" w:ascii="宋体" w:hAnsi="宋体" w:eastAsia="仿宋_GB2312"/>
          <w:sz w:val="32"/>
          <w:szCs w:val="32"/>
        </w:rPr>
        <w:t>；其他收入93.40万元，占0.41</w:t>
      </w:r>
      <w:r>
        <w:rPr>
          <w:rFonts w:ascii="宋体" w:hAnsi="宋体" w:eastAsia="仿宋_GB2312"/>
          <w:sz w:val="32"/>
          <w:szCs w:val="32"/>
        </w:rPr>
        <w:t>%</w:t>
      </w:r>
      <w:r>
        <w:rPr>
          <w:rFonts w:hint="eastAsia" w:ascii="宋体" w:hAnsi="宋体" w:eastAsia="仿宋_GB2312"/>
          <w:sz w:val="32"/>
          <w:szCs w:val="32"/>
        </w:rPr>
        <w:t>。</w:t>
      </w:r>
    </w:p>
    <w:p>
      <w:pPr>
        <w:pStyle w:val="5"/>
        <w:spacing w:before="93"/>
        <w:rPr>
          <w:rFonts w:ascii="宋体" w:hAnsi="宋体"/>
          <w:sz w:val="32"/>
          <w:szCs w:val="32"/>
        </w:rPr>
      </w:pPr>
    </w:p>
    <w:p>
      <w:pPr>
        <w:pStyle w:val="18"/>
        <w:spacing w:line="600" w:lineRule="exact"/>
        <w:ind w:left="1360" w:hanging="720" w:firstLineChars="0"/>
        <w:outlineLvl w:val="1"/>
        <w:rPr>
          <w:rStyle w:val="28"/>
          <w:rFonts w:ascii="宋体" w:hAnsi="宋体" w:eastAsia="黑体"/>
          <w:b w:val="0"/>
        </w:rPr>
      </w:pPr>
      <w:bookmarkStart w:id="22" w:name="_Toc15396605"/>
      <w:bookmarkStart w:id="23" w:name="_Toc15377207"/>
      <w:r>
        <w:rPr>
          <w:rFonts w:ascii="宋体" w:hAnsi="宋体" w:eastAsia="黑体" w:cs="黑体"/>
          <w:bCs/>
          <w:sz w:val="32"/>
          <w:szCs w:val="32"/>
        </w:rPr>
        <w:t>三、</w:t>
      </w:r>
      <w:r>
        <w:rPr>
          <w:rFonts w:hint="eastAsia" w:ascii="宋体" w:hAnsi="宋体" w:eastAsia="黑体"/>
          <w:sz w:val="32"/>
          <w:szCs w:val="32"/>
        </w:rPr>
        <w:t>支</w:t>
      </w:r>
      <w:r>
        <w:rPr>
          <w:rStyle w:val="28"/>
          <w:rFonts w:hint="eastAsia" w:ascii="宋体" w:hAnsi="宋体" w:eastAsia="黑体"/>
          <w:b w:val="0"/>
        </w:rPr>
        <w:t>出决算情况说明</w:t>
      </w:r>
      <w:bookmarkEnd w:id="22"/>
      <w:bookmarkEnd w:id="23"/>
    </w:p>
    <w:p>
      <w:pPr>
        <w:spacing w:line="600" w:lineRule="exact"/>
        <w:ind w:firstLine="640" w:firstLineChars="200"/>
        <w:outlineLvl w:val="1"/>
        <w:rPr>
          <w:rFonts w:ascii="宋体" w:hAnsi="宋体" w:eastAsia="仿宋_GB2312"/>
        </w:rPr>
      </w:pPr>
      <w:r>
        <w:rPr>
          <w:rFonts w:ascii="宋体" w:hAnsi="宋体" w:eastAsia="仿宋_GB2312"/>
          <w:sz w:val="32"/>
          <w:szCs w:val="32"/>
        </w:rPr>
        <w:t>20</w:t>
      </w:r>
      <w:r>
        <w:rPr>
          <w:rFonts w:hint="eastAsia" w:ascii="宋体" w:hAnsi="宋体" w:eastAsia="仿宋_GB2312"/>
          <w:sz w:val="32"/>
          <w:szCs w:val="32"/>
        </w:rPr>
        <w:t>22年本年支出合计22,646.84万元，其中：基本支出18,837.06万元，占83.18</w:t>
      </w:r>
      <w:r>
        <w:rPr>
          <w:rFonts w:ascii="宋体" w:hAnsi="宋体" w:eastAsia="仿宋_GB2312"/>
          <w:sz w:val="32"/>
          <w:szCs w:val="32"/>
        </w:rPr>
        <w:t>%</w:t>
      </w:r>
      <w:r>
        <w:rPr>
          <w:rFonts w:hint="eastAsia" w:ascii="宋体" w:hAnsi="宋体" w:eastAsia="仿宋_GB2312"/>
          <w:sz w:val="32"/>
          <w:szCs w:val="32"/>
        </w:rPr>
        <w:t>；项目支出3,809.78万元，占16.82</w:t>
      </w:r>
      <w:r>
        <w:rPr>
          <w:rFonts w:ascii="宋体" w:hAnsi="宋体" w:eastAsia="仿宋_GB2312"/>
          <w:sz w:val="32"/>
          <w:szCs w:val="32"/>
        </w:rPr>
        <w:t>%</w:t>
      </w:r>
      <w:r>
        <w:rPr>
          <w:rFonts w:hint="eastAsia" w:ascii="宋体" w:hAnsi="宋体" w:eastAsia="仿宋_GB2312"/>
          <w:sz w:val="32"/>
          <w:szCs w:val="32"/>
        </w:rPr>
        <w:t>。</w:t>
      </w:r>
      <w:r>
        <w:rPr>
          <w:rFonts w:ascii="宋体" w:hAnsi="宋体" w:eastAsia="仿宋_GB2312"/>
          <w:kern w:val="0"/>
          <w:sz w:val="30"/>
          <w:bdr w:val="single" w:color="auto" w:sz="4" w:space="0"/>
        </w:rPr>
        <w:pict>
          <v:shape id="Picture 3" o:spid="_x0000_s1029" o:spt="75" type="#_x0000_t75" style="position:absolute;left:0pt;margin-left:202.2pt;margin-top:198.05pt;height:160pt;width:172.9pt;mso-position-horizontal-relative:page;mso-position-vertical-relative:page;mso-wrap-distance-bottom:0pt;mso-wrap-distance-top:0pt;z-index:251664384;mso-width-relative:page;mso-height-relative:page;" filled="f" o:preferrelative="t" stroked="f" coordsize="21600,21600">
            <v:path/>
            <v:fill on="f" focussize="0,0"/>
            <v:stroke on="f" joinstyle="miter"/>
            <v:imagedata r:id="rId9" o:title=""/>
            <o:lock v:ext="edit" aspectratio="t"/>
            <w10:wrap type="topAndBottom"/>
          </v:shape>
        </w:pict>
      </w:r>
    </w:p>
    <w:p>
      <w:pPr>
        <w:spacing w:line="600" w:lineRule="exact"/>
        <w:ind w:firstLine="640" w:firstLineChars="200"/>
        <w:outlineLvl w:val="1"/>
        <w:rPr>
          <w:rFonts w:ascii="宋体" w:hAnsi="宋体" w:eastAsia="黑体"/>
          <w:sz w:val="32"/>
          <w:szCs w:val="32"/>
        </w:rPr>
      </w:pPr>
      <w:bookmarkStart w:id="24" w:name="_Toc15377208"/>
      <w:bookmarkStart w:id="25" w:name="_Toc15396606"/>
      <w:r>
        <w:rPr>
          <w:rFonts w:hint="eastAsia" w:ascii="宋体" w:hAnsi="宋体" w:eastAsia="黑体"/>
          <w:sz w:val="32"/>
          <w:szCs w:val="32"/>
        </w:rPr>
        <w:t>四、财政拨款收入支出决算总体情况说明</w:t>
      </w:r>
      <w:bookmarkEnd w:id="24"/>
      <w:bookmarkEnd w:id="25"/>
    </w:p>
    <w:p>
      <w:pPr>
        <w:spacing w:line="600" w:lineRule="exact"/>
        <w:ind w:firstLine="640"/>
        <w:rPr>
          <w:rFonts w:ascii="宋体" w:hAnsi="宋体" w:eastAsia="仿宋_GB2312"/>
        </w:rPr>
      </w:pPr>
      <w:r>
        <w:rPr>
          <w:rFonts w:ascii="宋体" w:hAnsi="宋体" w:eastAsia="仿宋_GB2312"/>
          <w:sz w:val="32"/>
          <w:szCs w:val="32"/>
        </w:rPr>
        <w:t>20</w:t>
      </w:r>
      <w:r>
        <w:rPr>
          <w:rFonts w:hint="eastAsia" w:ascii="宋体" w:hAnsi="宋体" w:eastAsia="仿宋_GB2312"/>
          <w:sz w:val="32"/>
          <w:szCs w:val="32"/>
        </w:rPr>
        <w:t>22年财政拨款收、支总计22,556.60万元。与</w:t>
      </w:r>
      <w:r>
        <w:rPr>
          <w:rFonts w:ascii="宋体" w:hAnsi="宋体" w:eastAsia="仿宋_GB2312"/>
          <w:sz w:val="32"/>
          <w:szCs w:val="32"/>
        </w:rPr>
        <w:t>20</w:t>
      </w:r>
      <w:r>
        <w:rPr>
          <w:rFonts w:hint="eastAsia" w:ascii="宋体" w:hAnsi="宋体" w:eastAsia="仿宋_GB2312"/>
          <w:sz w:val="32"/>
          <w:szCs w:val="32"/>
        </w:rPr>
        <w:t>21年相比，财政拨款收、支总计各增加2,610.19万元，增长13.09</w:t>
      </w:r>
      <w:r>
        <w:rPr>
          <w:rFonts w:ascii="宋体" w:hAnsi="宋体" w:eastAsia="仿宋_GB2312"/>
          <w:sz w:val="32"/>
          <w:szCs w:val="32"/>
        </w:rPr>
        <w:t>%</w:t>
      </w:r>
      <w:r>
        <w:rPr>
          <w:rFonts w:hint="eastAsia" w:ascii="宋体" w:hAnsi="宋体" w:eastAsia="仿宋_GB2312"/>
          <w:sz w:val="32"/>
          <w:szCs w:val="32"/>
        </w:rPr>
        <w:t>。主要变动原因是人员经费增加。</w:t>
      </w:r>
    </w:p>
    <w:p>
      <w:pPr>
        <w:pStyle w:val="5"/>
        <w:spacing w:before="93"/>
        <w:rPr>
          <w:rFonts w:ascii="宋体" w:hAnsi="宋体"/>
        </w:rPr>
      </w:pPr>
      <w:r>
        <w:rPr>
          <w:rFonts w:ascii="宋体" w:hAnsi="宋体"/>
          <w:bdr w:val="single" w:color="auto" w:sz="4" w:space="0"/>
        </w:rPr>
        <w:pict>
          <v:shape id="Picture 4" o:spid="_x0000_s1030" o:spt="75" type="#_x0000_t75" style="position:absolute;left:0pt;margin-left:186.6pt;margin-top:488.25pt;height:207.1pt;width:223.8pt;mso-position-horizontal-relative:page;mso-position-vertical-relative:page;mso-wrap-distance-bottom:0pt;mso-wrap-distance-top:0pt;z-index:251665408;mso-width-relative:page;mso-height-relative:page;" filled="f" o:preferrelative="t" stroked="f" coordsize="21600,21600">
            <v:path/>
            <v:fill on="f" focussize="0,0"/>
            <v:stroke on="f" joinstyle="miter"/>
            <v:imagedata r:id="rId10" o:title=""/>
            <o:lock v:ext="edit" aspectratio="t"/>
            <w10:wrap type="topAndBottom"/>
          </v:shape>
        </w:pict>
      </w:r>
    </w:p>
    <w:p>
      <w:pPr>
        <w:spacing w:line="600" w:lineRule="exact"/>
        <w:outlineLvl w:val="1"/>
        <w:rPr>
          <w:rFonts w:ascii="宋体" w:hAnsi="宋体" w:eastAsia="仿宋_GB2312"/>
          <w:sz w:val="32"/>
          <w:szCs w:val="32"/>
        </w:rPr>
      </w:pPr>
      <w:bookmarkStart w:id="26" w:name="_Toc15377209"/>
      <w:bookmarkStart w:id="27" w:name="_Toc15396607"/>
    </w:p>
    <w:p>
      <w:pPr>
        <w:spacing w:line="600" w:lineRule="exact"/>
        <w:ind w:firstLine="640" w:firstLineChars="200"/>
        <w:outlineLvl w:val="1"/>
        <w:rPr>
          <w:rFonts w:ascii="宋体" w:hAnsi="宋体" w:eastAsia="黑体"/>
          <w:sz w:val="32"/>
          <w:szCs w:val="32"/>
        </w:rPr>
      </w:pPr>
      <w:r>
        <w:rPr>
          <w:rFonts w:hint="eastAsia" w:ascii="宋体" w:hAnsi="宋体" w:eastAsia="黑体"/>
          <w:sz w:val="32"/>
          <w:szCs w:val="32"/>
        </w:rPr>
        <w:t>五、一般公共预算财政拨款支出决算情况说明</w:t>
      </w:r>
      <w:bookmarkEnd w:id="26"/>
      <w:bookmarkEnd w:id="27"/>
    </w:p>
    <w:p>
      <w:pPr>
        <w:spacing w:line="600" w:lineRule="exact"/>
        <w:ind w:firstLine="643" w:firstLineChars="200"/>
        <w:outlineLvl w:val="2"/>
        <w:rPr>
          <w:rFonts w:ascii="宋体" w:hAnsi="宋体" w:eastAsia="仿宋_GB2312"/>
          <w:b/>
          <w:sz w:val="32"/>
          <w:szCs w:val="32"/>
        </w:rPr>
      </w:pPr>
      <w:bookmarkStart w:id="28" w:name="_Toc15377210"/>
      <w:r>
        <w:rPr>
          <w:rFonts w:hint="eastAsia" w:ascii="宋体" w:hAnsi="宋体" w:eastAsia="仿宋_GB2312"/>
          <w:b/>
          <w:sz w:val="32"/>
          <w:szCs w:val="32"/>
        </w:rPr>
        <w:t>（一）一般公共预算财政拨款支出决算总体情况</w:t>
      </w:r>
      <w:bookmarkEnd w:id="28"/>
    </w:p>
    <w:p>
      <w:pPr>
        <w:spacing w:line="600" w:lineRule="exact"/>
        <w:ind w:firstLine="600" w:firstLineChars="200"/>
        <w:rPr>
          <w:rFonts w:ascii="宋体" w:hAnsi="宋体" w:eastAsia="仿宋_GB2312"/>
          <w:sz w:val="32"/>
          <w:szCs w:val="32"/>
        </w:rPr>
      </w:pPr>
      <w:r>
        <w:rPr>
          <w:rFonts w:ascii="宋体" w:hAnsi="宋体" w:eastAsia="仿宋_GB2312"/>
          <w:kern w:val="0"/>
          <w:sz w:val="30"/>
          <w:bdr w:val="single" w:color="auto" w:sz="4" w:space="0"/>
        </w:rPr>
        <w:pict>
          <v:shape id="Picture 5" o:spid="_x0000_s1031" o:spt="75" type="#_x0000_t75" style="position:absolute;left:0pt;margin-left:232.15pt;margin-top:254.3pt;height:160.65pt;width:173.6pt;mso-position-horizontal-relative:page;mso-position-vertical-relative:page;mso-wrap-distance-bottom:0pt;mso-wrap-distance-top:0pt;z-index:251660288;mso-width-relative:page;mso-height-relative:page;" filled="f" o:preferrelative="t" stroked="f" coordsize="21600,21600">
            <v:path/>
            <v:fill on="f" focussize="0,0"/>
            <v:stroke on="f" joinstyle="miter"/>
            <v:imagedata r:id="rId11" o:title=""/>
            <o:lock v:ext="edit" aspectratio="t"/>
            <w10:wrap type="topAndBottom"/>
          </v:shape>
        </w:pict>
      </w:r>
      <w:r>
        <w:rPr>
          <w:rFonts w:hint="eastAsia" w:ascii="宋体" w:hAnsi="宋体" w:eastAsia="仿宋_GB2312"/>
          <w:sz w:val="32"/>
          <w:szCs w:val="32"/>
        </w:rPr>
        <w:t>2022年一般公共预算财政拨款支出22,556.60万元，占本年支出合计的99.60%。与2021年相比，一般公共预算财政拨款支出增加2,610.19万元，增长13.09%。主要变动原因是人员经费增加。</w:t>
      </w:r>
    </w:p>
    <w:p>
      <w:pPr>
        <w:spacing w:line="600" w:lineRule="exact"/>
        <w:ind w:firstLine="643" w:firstLineChars="200"/>
        <w:outlineLvl w:val="2"/>
        <w:rPr>
          <w:rFonts w:ascii="宋体" w:hAnsi="宋体" w:eastAsia="仿宋_GB2312"/>
          <w:b/>
          <w:sz w:val="32"/>
          <w:szCs w:val="32"/>
        </w:rPr>
      </w:pPr>
      <w:bookmarkStart w:id="29" w:name="_Toc15377211"/>
      <w:r>
        <w:rPr>
          <w:rFonts w:hint="eastAsia" w:ascii="宋体" w:hAnsi="宋体" w:eastAsia="仿宋_GB2312"/>
          <w:b/>
          <w:sz w:val="32"/>
          <w:szCs w:val="32"/>
        </w:rPr>
        <w:t>（二）一般公共预算财政拨款支出决算结构情况</w:t>
      </w:r>
      <w:bookmarkEnd w:id="29"/>
    </w:p>
    <w:p>
      <w:pPr>
        <w:spacing w:line="600" w:lineRule="exact"/>
        <w:ind w:firstLine="640"/>
        <w:rPr>
          <w:rFonts w:ascii="宋体" w:hAnsi="宋体" w:eastAsia="仿宋_GB2312"/>
          <w:sz w:val="32"/>
          <w:szCs w:val="32"/>
        </w:rPr>
      </w:pPr>
      <w:r>
        <w:rPr>
          <w:rFonts w:ascii="宋体" w:hAnsi="宋体" w:eastAsia="仿宋_GB2312"/>
          <w:kern w:val="0"/>
          <w:sz w:val="30"/>
        </w:rPr>
        <w:pict>
          <v:shape id="Picture 6" o:spid="_x0000_s1032" o:spt="75" type="#_x0000_t75" style="position:absolute;left:0pt;margin-left:231.3pt;margin-top:599.25pt;height:170.5pt;width:188.7pt;mso-position-horizontal-relative:page;mso-position-vertical-relative:page;mso-wrap-distance-bottom:0pt;mso-wrap-distance-top:0pt;z-index:251661312;mso-width-relative:page;mso-height-relative:page;" filled="f" o:preferrelative="t" stroked="f" coordsize="21600,21600">
            <v:path/>
            <v:fill on="f" focussize="0,0"/>
            <v:stroke on="f" joinstyle="miter"/>
            <v:imagedata r:id="rId12" o:title=""/>
            <o:lock v:ext="edit" aspectratio="t"/>
            <w10:wrap type="topAndBottom"/>
          </v:shape>
        </w:pict>
      </w:r>
      <w:r>
        <w:rPr>
          <w:rFonts w:hint="eastAsia" w:ascii="宋体" w:hAnsi="宋体" w:eastAsia="仿宋_GB2312"/>
          <w:sz w:val="32"/>
          <w:szCs w:val="32"/>
        </w:rPr>
        <w:t>2022年一般公共预算财政拨款支出22,556.60万元，主要用于以下方面:</w:t>
      </w:r>
      <w:r>
        <w:rPr>
          <w:rFonts w:hint="eastAsia" w:ascii="宋体" w:hAnsi="宋体" w:eastAsia="仿宋_GB2312"/>
          <w:b/>
          <w:sz w:val="32"/>
          <w:szCs w:val="32"/>
        </w:rPr>
        <w:t>公共安全</w:t>
      </w:r>
      <w:r>
        <w:rPr>
          <w:rFonts w:hint="eastAsia" w:ascii="宋体" w:hAnsi="宋体" w:eastAsia="仿宋_GB2312"/>
          <w:b/>
          <w:bCs/>
          <w:sz w:val="32"/>
          <w:szCs w:val="32"/>
        </w:rPr>
        <w:t>支出</w:t>
      </w:r>
      <w:r>
        <w:rPr>
          <w:rFonts w:hint="eastAsia" w:ascii="宋体" w:hAnsi="宋体" w:eastAsia="仿宋_GB2312"/>
          <w:sz w:val="32"/>
          <w:szCs w:val="32"/>
        </w:rPr>
        <w:t>17,509.07万元，占77.62%；</w:t>
      </w:r>
      <w:r>
        <w:rPr>
          <w:rFonts w:hint="eastAsia" w:ascii="宋体" w:hAnsi="宋体" w:eastAsia="仿宋_GB2312"/>
          <w:b/>
          <w:sz w:val="32"/>
          <w:szCs w:val="32"/>
        </w:rPr>
        <w:t>教育支出</w:t>
      </w:r>
      <w:r>
        <w:rPr>
          <w:rFonts w:hint="eastAsia" w:ascii="宋体" w:hAnsi="宋体" w:eastAsia="仿宋_GB2312"/>
          <w:sz w:val="32"/>
          <w:szCs w:val="32"/>
        </w:rPr>
        <w:t>80.00万元，占0.35%；</w:t>
      </w:r>
      <w:r>
        <w:rPr>
          <w:rFonts w:hint="eastAsia" w:ascii="宋体" w:hAnsi="宋体" w:eastAsia="仿宋_GB2312"/>
          <w:b/>
          <w:sz w:val="32"/>
          <w:szCs w:val="32"/>
        </w:rPr>
        <w:t>社会保障和就业</w:t>
      </w:r>
      <w:r>
        <w:rPr>
          <w:rFonts w:hint="eastAsia" w:ascii="宋体" w:hAnsi="宋体" w:eastAsia="仿宋_GB2312"/>
          <w:b/>
          <w:bCs/>
          <w:sz w:val="32"/>
          <w:szCs w:val="32"/>
        </w:rPr>
        <w:t>支出</w:t>
      </w:r>
      <w:r>
        <w:rPr>
          <w:rFonts w:hint="eastAsia" w:ascii="宋体" w:hAnsi="宋体" w:eastAsia="仿宋_GB2312"/>
          <w:sz w:val="32"/>
          <w:szCs w:val="32"/>
        </w:rPr>
        <w:t>2,838.85万元，占12.59%；</w:t>
      </w:r>
      <w:r>
        <w:rPr>
          <w:rFonts w:hint="eastAsia" w:ascii="宋体" w:hAnsi="宋体" w:eastAsia="仿宋_GB2312"/>
          <w:b/>
          <w:bCs/>
          <w:sz w:val="32"/>
          <w:szCs w:val="32"/>
        </w:rPr>
        <w:t>卫生健康支出</w:t>
      </w:r>
      <w:r>
        <w:rPr>
          <w:rFonts w:hint="eastAsia" w:ascii="宋体" w:hAnsi="宋体" w:eastAsia="仿宋_GB2312"/>
          <w:sz w:val="32"/>
          <w:szCs w:val="32"/>
        </w:rPr>
        <w:t>990.39万元，占4.39%；</w:t>
      </w:r>
      <w:r>
        <w:rPr>
          <w:rFonts w:hint="eastAsia" w:ascii="宋体" w:hAnsi="宋体" w:eastAsia="仿宋_GB2312"/>
          <w:b/>
          <w:bCs/>
          <w:sz w:val="32"/>
          <w:szCs w:val="32"/>
        </w:rPr>
        <w:t>住房保障支出</w:t>
      </w:r>
      <w:r>
        <w:rPr>
          <w:rFonts w:hint="eastAsia" w:ascii="宋体" w:hAnsi="宋体" w:eastAsia="仿宋_GB2312"/>
          <w:sz w:val="32"/>
          <w:szCs w:val="32"/>
        </w:rPr>
        <w:t>1,138.29万元，占5.05%。</w:t>
      </w:r>
    </w:p>
    <w:p>
      <w:pPr>
        <w:spacing w:line="600" w:lineRule="exact"/>
        <w:ind w:firstLine="643" w:firstLineChars="200"/>
        <w:outlineLvl w:val="2"/>
        <w:rPr>
          <w:rFonts w:ascii="宋体" w:hAnsi="宋体" w:eastAsia="仿宋_GB2312"/>
          <w:b/>
          <w:sz w:val="32"/>
          <w:szCs w:val="32"/>
        </w:rPr>
      </w:pPr>
      <w:bookmarkStart w:id="30" w:name="_Toc15377212"/>
      <w:r>
        <w:rPr>
          <w:rFonts w:hint="eastAsia" w:ascii="宋体" w:hAnsi="宋体" w:eastAsia="仿宋_GB2312"/>
          <w:b/>
          <w:sz w:val="32"/>
          <w:szCs w:val="32"/>
        </w:rPr>
        <w:t>（三）一般公共预算财政拨款支出决算具体情况</w:t>
      </w:r>
      <w:bookmarkEnd w:id="30"/>
    </w:p>
    <w:p>
      <w:pPr>
        <w:spacing w:line="600" w:lineRule="exact"/>
        <w:ind w:firstLine="643" w:firstLineChars="200"/>
        <w:outlineLvl w:val="2"/>
        <w:rPr>
          <w:rFonts w:ascii="宋体" w:hAnsi="宋体" w:eastAsia="仿宋_GB2312"/>
          <w:sz w:val="32"/>
          <w:szCs w:val="32"/>
        </w:rPr>
      </w:pPr>
      <w:bookmarkStart w:id="31" w:name="_Toc15377213"/>
      <w:bookmarkStart w:id="32" w:name="_Toc15378460"/>
      <w:bookmarkStart w:id="33" w:name="_Toc15377444"/>
      <w:r>
        <w:rPr>
          <w:rFonts w:hint="eastAsia" w:ascii="宋体" w:hAnsi="宋体" w:eastAsia="仿宋_GB2312"/>
          <w:b/>
          <w:sz w:val="32"/>
          <w:szCs w:val="32"/>
        </w:rPr>
        <w:t>2022年一般公共预算支出决算数为22,556.60万元</w:t>
      </w:r>
      <w:r>
        <w:rPr>
          <w:rFonts w:hint="eastAsia" w:ascii="宋体" w:hAnsi="宋体" w:eastAsia="仿宋_GB2312"/>
          <w:sz w:val="32"/>
          <w:szCs w:val="32"/>
        </w:rPr>
        <w:t>，</w:t>
      </w:r>
      <w:r>
        <w:rPr>
          <w:rStyle w:val="15"/>
          <w:rFonts w:hint="eastAsia" w:ascii="宋体" w:hAnsi="宋体" w:eastAsia="仿宋_GB2312"/>
          <w:bCs/>
          <w:sz w:val="32"/>
          <w:szCs w:val="32"/>
        </w:rPr>
        <w:t>完成预算98.44%。其中：</w:t>
      </w:r>
      <w:bookmarkEnd w:id="31"/>
      <w:bookmarkEnd w:id="32"/>
      <w:bookmarkEnd w:id="33"/>
    </w:p>
    <w:p>
      <w:pPr>
        <w:spacing w:line="600" w:lineRule="exact"/>
        <w:ind w:firstLine="643" w:firstLineChars="200"/>
        <w:rPr>
          <w:rFonts w:ascii="宋体" w:hAnsi="宋体" w:eastAsia="仿宋_GB2312"/>
          <w:b/>
          <w:sz w:val="32"/>
          <w:szCs w:val="32"/>
        </w:rPr>
      </w:pPr>
      <w:r>
        <w:rPr>
          <w:rStyle w:val="15"/>
          <w:rFonts w:hint="eastAsia" w:ascii="宋体" w:hAnsi="宋体" w:eastAsia="仿宋_GB2312"/>
          <w:bCs/>
          <w:sz w:val="32"/>
          <w:szCs w:val="32"/>
        </w:rPr>
        <w:t>1.公共安全（类）监狱（款）行政运行（项）:</w:t>
      </w:r>
      <w:r>
        <w:rPr>
          <w:rStyle w:val="15"/>
          <w:rFonts w:hint="eastAsia" w:ascii="宋体" w:hAnsi="宋体" w:eastAsia="仿宋_GB2312"/>
          <w:b w:val="0"/>
          <w:bCs/>
          <w:sz w:val="32"/>
          <w:szCs w:val="32"/>
        </w:rPr>
        <w:t>支出决算为13,744.70万元，完成预算99.79%，决算数小于预算数的主要原因是年中人员调动。</w:t>
      </w:r>
    </w:p>
    <w:p>
      <w:pPr>
        <w:spacing w:line="600" w:lineRule="exact"/>
        <w:ind w:firstLine="643" w:firstLineChars="200"/>
        <w:rPr>
          <w:rFonts w:ascii="宋体" w:hAnsi="宋体" w:eastAsia="仿宋_GB2312"/>
          <w:b/>
          <w:sz w:val="32"/>
          <w:szCs w:val="32"/>
        </w:rPr>
      </w:pPr>
      <w:r>
        <w:rPr>
          <w:rStyle w:val="15"/>
          <w:rFonts w:hint="eastAsia" w:ascii="宋体" w:hAnsi="宋体" w:eastAsia="仿宋_GB2312"/>
          <w:bCs/>
          <w:sz w:val="32"/>
          <w:szCs w:val="32"/>
        </w:rPr>
        <w:t>2.教育（类）进修及培训（款）培训支出（项）:</w:t>
      </w:r>
      <w:r>
        <w:rPr>
          <w:rStyle w:val="15"/>
          <w:rFonts w:hint="eastAsia" w:ascii="宋体" w:hAnsi="宋体" w:eastAsia="仿宋_GB2312"/>
          <w:b w:val="0"/>
          <w:bCs/>
          <w:sz w:val="32"/>
          <w:szCs w:val="32"/>
        </w:rPr>
        <w:t>支出决算为80.00万元，完成预算100%。</w:t>
      </w:r>
    </w:p>
    <w:p>
      <w:pPr>
        <w:spacing w:line="600" w:lineRule="exact"/>
        <w:ind w:firstLine="643" w:firstLineChars="200"/>
        <w:rPr>
          <w:rStyle w:val="15"/>
          <w:rFonts w:ascii="宋体" w:hAnsi="宋体" w:eastAsia="仿宋_GB2312"/>
          <w:b w:val="0"/>
          <w:bCs/>
          <w:sz w:val="32"/>
          <w:szCs w:val="32"/>
        </w:rPr>
      </w:pPr>
      <w:r>
        <w:rPr>
          <w:rStyle w:val="15"/>
          <w:rFonts w:hint="eastAsia" w:ascii="宋体" w:hAnsi="宋体" w:eastAsia="仿宋_GB2312"/>
          <w:bCs/>
          <w:sz w:val="32"/>
          <w:szCs w:val="32"/>
        </w:rPr>
        <w:t>3.社会保障和就业（类）行政事业单位养老支出（款）行政单位离退休（项）:</w:t>
      </w:r>
      <w:r>
        <w:rPr>
          <w:rStyle w:val="15"/>
          <w:rFonts w:hint="eastAsia" w:ascii="宋体" w:hAnsi="宋体" w:eastAsia="仿宋_GB2312"/>
          <w:b w:val="0"/>
          <w:bCs/>
          <w:sz w:val="32"/>
          <w:szCs w:val="32"/>
        </w:rPr>
        <w:t>支出决算为1,398.94万元，完成预算98.32%，决算数小于预算数的主要原因是离休人员减少。</w:t>
      </w:r>
    </w:p>
    <w:p>
      <w:pPr>
        <w:spacing w:line="600" w:lineRule="exact"/>
        <w:ind w:firstLine="643" w:firstLineChars="200"/>
        <w:rPr>
          <w:rStyle w:val="15"/>
          <w:rFonts w:ascii="宋体" w:hAnsi="宋体" w:eastAsia="仿宋_GB2312"/>
          <w:color w:val="FF0000"/>
          <w:sz w:val="32"/>
          <w:szCs w:val="32"/>
        </w:rPr>
      </w:pPr>
      <w:r>
        <w:rPr>
          <w:rStyle w:val="15"/>
          <w:rFonts w:hint="eastAsia" w:ascii="宋体" w:hAnsi="宋体" w:eastAsia="仿宋_GB2312"/>
          <w:bCs/>
          <w:sz w:val="32"/>
          <w:szCs w:val="32"/>
        </w:rPr>
        <w:t>4.社会保障和就业（类）行政事业单位养老支出（款）机关事业单位基本养老保险缴费支出（项）:</w:t>
      </w:r>
      <w:r>
        <w:rPr>
          <w:rStyle w:val="15"/>
          <w:rFonts w:hint="eastAsia" w:ascii="宋体" w:hAnsi="宋体" w:eastAsia="仿宋_GB2312"/>
          <w:b w:val="0"/>
          <w:bCs/>
          <w:sz w:val="32"/>
          <w:szCs w:val="32"/>
        </w:rPr>
        <w:t>支出决算为1,138.32万元，完成预算98.32%，决算数小于预算数的主要原因是人员调动</w:t>
      </w:r>
      <w:r>
        <w:rPr>
          <w:rStyle w:val="15"/>
          <w:rFonts w:hint="eastAsia" w:ascii="宋体" w:hAnsi="宋体" w:eastAsia="仿宋_GB2312"/>
          <w:sz w:val="32"/>
          <w:szCs w:val="32"/>
        </w:rPr>
        <w:t>。</w:t>
      </w:r>
    </w:p>
    <w:p>
      <w:pPr>
        <w:spacing w:line="600" w:lineRule="exact"/>
        <w:ind w:firstLine="643" w:firstLineChars="200"/>
        <w:rPr>
          <w:rStyle w:val="15"/>
          <w:rFonts w:ascii="宋体" w:hAnsi="宋体" w:eastAsia="仿宋_GB2312"/>
          <w:b w:val="0"/>
          <w:bCs/>
          <w:sz w:val="32"/>
          <w:szCs w:val="32"/>
        </w:rPr>
      </w:pPr>
      <w:r>
        <w:rPr>
          <w:rStyle w:val="15"/>
          <w:rFonts w:hint="eastAsia" w:ascii="宋体" w:hAnsi="宋体" w:eastAsia="仿宋_GB2312"/>
          <w:bCs/>
          <w:sz w:val="32"/>
          <w:szCs w:val="32"/>
        </w:rPr>
        <w:t>5.社会保障和就业支出（类）行政事业单位养老支出（款）机关事业单位职业年金缴费支出（项）:</w:t>
      </w:r>
      <w:r>
        <w:rPr>
          <w:rStyle w:val="15"/>
          <w:rFonts w:hint="eastAsia" w:ascii="宋体" w:hAnsi="宋体" w:eastAsia="仿宋_GB2312"/>
          <w:b w:val="0"/>
          <w:bCs/>
          <w:sz w:val="32"/>
          <w:szCs w:val="32"/>
        </w:rPr>
        <w:t>支出决算为49.69万元，完成预算100%。</w:t>
      </w:r>
    </w:p>
    <w:p>
      <w:pPr>
        <w:spacing w:line="600" w:lineRule="exact"/>
        <w:ind w:firstLine="643" w:firstLineChars="200"/>
        <w:rPr>
          <w:rStyle w:val="15"/>
          <w:rFonts w:ascii="宋体" w:hAnsi="宋体" w:eastAsia="仿宋_GB2312"/>
          <w:bCs/>
          <w:sz w:val="32"/>
          <w:szCs w:val="32"/>
        </w:rPr>
      </w:pPr>
      <w:r>
        <w:rPr>
          <w:rStyle w:val="15"/>
          <w:rFonts w:hint="eastAsia" w:ascii="宋体" w:hAnsi="宋体" w:eastAsia="仿宋_GB2312"/>
          <w:bCs/>
          <w:sz w:val="32"/>
          <w:szCs w:val="32"/>
        </w:rPr>
        <w:t>6.社会保障和就业支出（类）抚恤（款）死亡抚恤（项）：</w:t>
      </w:r>
      <w:r>
        <w:rPr>
          <w:rStyle w:val="15"/>
          <w:rFonts w:hint="eastAsia" w:ascii="宋体" w:hAnsi="宋体" w:eastAsia="仿宋_GB2312"/>
          <w:b w:val="0"/>
          <w:bCs/>
          <w:sz w:val="32"/>
          <w:szCs w:val="32"/>
        </w:rPr>
        <w:t>支出决算为212.64万元，完成预算100%。</w:t>
      </w:r>
    </w:p>
    <w:p>
      <w:pPr>
        <w:spacing w:line="600" w:lineRule="exact"/>
        <w:ind w:firstLine="643" w:firstLineChars="200"/>
        <w:rPr>
          <w:rStyle w:val="15"/>
          <w:rFonts w:ascii="宋体" w:hAnsi="宋体" w:eastAsia="仿宋_GB2312"/>
          <w:b w:val="0"/>
          <w:bCs/>
          <w:sz w:val="32"/>
          <w:szCs w:val="32"/>
        </w:rPr>
      </w:pPr>
      <w:r>
        <w:rPr>
          <w:rFonts w:hint="eastAsia" w:ascii="宋体" w:hAnsi="宋体" w:eastAsia="仿宋_GB2312"/>
          <w:b/>
          <w:bCs/>
          <w:sz w:val="32"/>
          <w:szCs w:val="32"/>
        </w:rPr>
        <w:t>7.社会保障和就业支出（类）其他社会保障和就业支出（款）其他社会保障和就业支出（项）</w:t>
      </w:r>
      <w:r>
        <w:rPr>
          <w:rFonts w:hint="eastAsia" w:ascii="宋体" w:hAnsi="宋体" w:eastAsia="仿宋_GB2312"/>
        </w:rPr>
        <w:t>:</w:t>
      </w:r>
      <w:r>
        <w:rPr>
          <w:rStyle w:val="15"/>
          <w:rFonts w:hint="eastAsia" w:ascii="宋体" w:hAnsi="宋体" w:eastAsia="仿宋_GB2312"/>
          <w:b w:val="0"/>
          <w:bCs/>
          <w:sz w:val="32"/>
          <w:szCs w:val="32"/>
        </w:rPr>
        <w:t>支出决算为39.26万元，完成预算100%。</w:t>
      </w:r>
    </w:p>
    <w:p>
      <w:pPr>
        <w:spacing w:line="600" w:lineRule="exact"/>
        <w:ind w:firstLine="643" w:firstLineChars="200"/>
        <w:rPr>
          <w:rFonts w:ascii="宋体" w:hAnsi="宋体" w:eastAsia="仿宋_GB2312"/>
          <w:b/>
          <w:sz w:val="32"/>
          <w:szCs w:val="32"/>
        </w:rPr>
      </w:pPr>
      <w:r>
        <w:rPr>
          <w:rFonts w:hint="eastAsia" w:ascii="宋体" w:hAnsi="宋体" w:eastAsia="仿宋_GB2312"/>
          <w:b/>
          <w:bCs/>
          <w:sz w:val="32"/>
          <w:szCs w:val="32"/>
        </w:rPr>
        <w:t>8.卫生健康（类）行政事业单位医疗（款）行政单位医疗（项）:</w:t>
      </w:r>
      <w:r>
        <w:rPr>
          <w:rStyle w:val="15"/>
          <w:rFonts w:hint="eastAsia" w:ascii="宋体" w:hAnsi="宋体" w:eastAsia="仿宋_GB2312"/>
          <w:b w:val="0"/>
          <w:bCs/>
          <w:sz w:val="32"/>
          <w:szCs w:val="32"/>
        </w:rPr>
        <w:t>支出决算为810.06万元，完成预算81.13%，决算数小于预算数的主要原因是人员调动。</w:t>
      </w:r>
    </w:p>
    <w:p>
      <w:pPr>
        <w:spacing w:line="600" w:lineRule="exact"/>
        <w:ind w:firstLine="643" w:firstLineChars="200"/>
        <w:rPr>
          <w:rStyle w:val="15"/>
          <w:rFonts w:ascii="宋体" w:hAnsi="宋体" w:eastAsia="仿宋_GB2312"/>
          <w:b w:val="0"/>
          <w:bCs/>
          <w:sz w:val="32"/>
          <w:szCs w:val="32"/>
        </w:rPr>
      </w:pPr>
      <w:r>
        <w:rPr>
          <w:rFonts w:hint="eastAsia" w:ascii="宋体" w:hAnsi="宋体" w:eastAsia="仿宋_GB2312"/>
          <w:b/>
          <w:bCs/>
          <w:sz w:val="32"/>
          <w:szCs w:val="32"/>
        </w:rPr>
        <w:t>9.卫生健康（类）行政事业单位医疗（款）公务员医疗补助（项）:</w:t>
      </w:r>
      <w:r>
        <w:rPr>
          <w:rStyle w:val="15"/>
          <w:rFonts w:hint="eastAsia" w:ascii="宋体" w:hAnsi="宋体" w:eastAsia="仿宋_GB2312"/>
          <w:b w:val="0"/>
          <w:bCs/>
          <w:sz w:val="32"/>
          <w:szCs w:val="32"/>
        </w:rPr>
        <w:t>支出决算为180.32万元，完成预算100%。</w:t>
      </w:r>
    </w:p>
    <w:p>
      <w:pPr>
        <w:spacing w:line="600" w:lineRule="exact"/>
        <w:ind w:firstLine="643" w:firstLineChars="200"/>
        <w:rPr>
          <w:rFonts w:ascii="宋体" w:hAnsi="宋体" w:eastAsia="仿宋_GB2312"/>
          <w:b/>
          <w:bCs/>
          <w:color w:val="FF0000"/>
          <w:sz w:val="32"/>
          <w:szCs w:val="32"/>
        </w:rPr>
      </w:pPr>
      <w:r>
        <w:rPr>
          <w:rFonts w:hint="eastAsia" w:ascii="宋体" w:hAnsi="宋体" w:eastAsia="仿宋_GB2312"/>
          <w:b/>
          <w:bCs/>
          <w:sz w:val="32"/>
          <w:szCs w:val="32"/>
        </w:rPr>
        <w:t>10.住房保障（类）住房改革支出（款）住房公积金（项）:</w:t>
      </w:r>
      <w:r>
        <w:rPr>
          <w:rStyle w:val="15"/>
          <w:rFonts w:hint="eastAsia" w:ascii="宋体" w:hAnsi="宋体" w:eastAsia="仿宋_GB2312"/>
          <w:b w:val="0"/>
          <w:bCs/>
          <w:sz w:val="32"/>
          <w:szCs w:val="32"/>
        </w:rPr>
        <w:t>支出决算为1,138.28万元，完成预算99.11%，决算数小于预算数的主要原因是人员调动。</w:t>
      </w:r>
    </w:p>
    <w:p>
      <w:pPr>
        <w:tabs>
          <w:tab w:val="right" w:pos="8306"/>
        </w:tabs>
        <w:spacing w:line="600" w:lineRule="exact"/>
        <w:outlineLvl w:val="1"/>
        <w:rPr>
          <w:rStyle w:val="28"/>
          <w:rFonts w:ascii="宋体" w:hAnsi="宋体" w:eastAsia="黑体"/>
        </w:rPr>
      </w:pPr>
      <w:bookmarkStart w:id="34" w:name="_Toc15377214"/>
      <w:bookmarkStart w:id="35" w:name="_Toc15396608"/>
      <w:r>
        <w:rPr>
          <w:rFonts w:hint="eastAsia" w:ascii="宋体" w:hAnsi="宋体" w:eastAsia="黑体"/>
          <w:sz w:val="32"/>
          <w:szCs w:val="32"/>
        </w:rPr>
        <w:t>六</w:t>
      </w:r>
      <w:r>
        <w:rPr>
          <w:rFonts w:hint="eastAsia" w:ascii="宋体" w:hAnsi="宋体" w:eastAsia="黑体"/>
          <w:b/>
          <w:sz w:val="32"/>
          <w:szCs w:val="32"/>
        </w:rPr>
        <w:t>、一</w:t>
      </w:r>
      <w:r>
        <w:rPr>
          <w:rStyle w:val="28"/>
          <w:rFonts w:hint="eastAsia" w:ascii="宋体" w:hAnsi="宋体" w:eastAsia="黑体"/>
          <w:b w:val="0"/>
        </w:rPr>
        <w:t>般公共预算财政拨款基本支出决算情况说明</w:t>
      </w:r>
      <w:bookmarkEnd w:id="34"/>
      <w:bookmarkEnd w:id="35"/>
      <w:r>
        <w:rPr>
          <w:rStyle w:val="28"/>
          <w:rFonts w:ascii="宋体" w:hAnsi="宋体" w:eastAsia="黑体"/>
          <w:b w:val="0"/>
        </w:rPr>
        <w:tab/>
      </w:r>
    </w:p>
    <w:p>
      <w:pPr>
        <w:spacing w:line="600" w:lineRule="exact"/>
        <w:ind w:firstLine="645"/>
        <w:rPr>
          <w:rFonts w:ascii="宋体" w:hAnsi="宋体" w:eastAsia="仿宋_GB2312"/>
          <w:sz w:val="32"/>
          <w:szCs w:val="32"/>
        </w:rPr>
      </w:pPr>
      <w:r>
        <w:rPr>
          <w:rFonts w:ascii="宋体" w:hAnsi="宋体" w:eastAsia="仿宋_GB2312"/>
          <w:sz w:val="32"/>
          <w:szCs w:val="32"/>
        </w:rPr>
        <w:t>20</w:t>
      </w:r>
      <w:r>
        <w:rPr>
          <w:rFonts w:hint="eastAsia" w:ascii="宋体" w:hAnsi="宋体" w:eastAsia="仿宋_GB2312"/>
          <w:sz w:val="32"/>
          <w:szCs w:val="32"/>
        </w:rPr>
        <w:t>22年一般公共预算财政拨款基本支出18,792.29万元，其中：</w:t>
      </w:r>
    </w:p>
    <w:p>
      <w:pPr>
        <w:spacing w:line="600" w:lineRule="exact"/>
        <w:ind w:firstLine="645"/>
        <w:rPr>
          <w:rFonts w:ascii="宋体" w:hAnsi="宋体" w:eastAsia="仿宋_GB2312"/>
          <w:b/>
          <w:sz w:val="32"/>
          <w:szCs w:val="32"/>
        </w:rPr>
      </w:pPr>
      <w:r>
        <w:rPr>
          <w:rFonts w:hint="eastAsia" w:ascii="宋体" w:hAnsi="宋体" w:eastAsia="仿宋_GB2312"/>
          <w:sz w:val="32"/>
          <w:szCs w:val="32"/>
        </w:rPr>
        <w:t>人员经费16,959.81万元，主要包括：基本工资、津贴补贴、奖金、机关事业单位基本养老保险缴费、职业年金缴费、职工基本医疗保险缴费、公务员医疗补助缴费，其他工资福利支出、离休费、抚恤金、生活补助、住房公积金、其他对个人和家庭的补助支出等。</w:t>
      </w:r>
      <w:r>
        <w:rPr>
          <w:rFonts w:ascii="宋体" w:hAnsi="宋体" w:eastAsia="仿宋_GB2312"/>
          <w:sz w:val="32"/>
          <w:szCs w:val="32"/>
        </w:rPr>
        <w:br w:type="textWrapping"/>
      </w:r>
      <w:r>
        <w:rPr>
          <w:rFonts w:hint="eastAsia" w:ascii="宋体" w:hAnsi="宋体" w:eastAsia="仿宋_GB2312"/>
          <w:sz w:val="32"/>
          <w:szCs w:val="32"/>
        </w:rPr>
        <w:t>　　公用经费1,832.47万元，主要包括：办公费、印刷费、咨询费、手续费、水费、电费、邮电费、差旅费、维修（护）费、培训费、劳务费、工会经费、福利费、其他交通费、其他商品和服务支出等。</w:t>
      </w:r>
    </w:p>
    <w:p>
      <w:pPr>
        <w:spacing w:line="600" w:lineRule="exact"/>
        <w:ind w:firstLine="640"/>
        <w:outlineLvl w:val="1"/>
        <w:rPr>
          <w:rStyle w:val="28"/>
          <w:rFonts w:ascii="宋体" w:hAnsi="宋体" w:eastAsia="黑体"/>
          <w:b w:val="0"/>
        </w:rPr>
      </w:pPr>
      <w:bookmarkStart w:id="36" w:name="_Toc15377215"/>
      <w:bookmarkStart w:id="37" w:name="_Toc15396609"/>
      <w:r>
        <w:rPr>
          <w:rFonts w:hint="eastAsia" w:ascii="宋体" w:hAnsi="宋体" w:eastAsia="黑体"/>
          <w:sz w:val="32"/>
          <w:szCs w:val="32"/>
        </w:rPr>
        <w:t>七、</w:t>
      </w:r>
      <w:r>
        <w:rPr>
          <w:rStyle w:val="28"/>
          <w:rFonts w:hint="eastAsia" w:ascii="宋体" w:hAnsi="宋体" w:eastAsia="黑体"/>
          <w:b w:val="0"/>
        </w:rPr>
        <w:t>财政拨款</w:t>
      </w:r>
      <w:r>
        <w:rPr>
          <w:rStyle w:val="28"/>
          <w:rFonts w:hint="eastAsia" w:ascii="宋体" w:hAnsi="宋体" w:eastAsia="黑体"/>
        </w:rPr>
        <w:t>“</w:t>
      </w:r>
      <w:r>
        <w:rPr>
          <w:rStyle w:val="28"/>
          <w:rFonts w:hint="eastAsia" w:ascii="宋体" w:hAnsi="宋体" w:eastAsia="黑体"/>
          <w:b w:val="0"/>
        </w:rPr>
        <w:t>三公”经费支出决算情况说明</w:t>
      </w:r>
      <w:bookmarkEnd w:id="36"/>
      <w:bookmarkEnd w:id="37"/>
    </w:p>
    <w:p>
      <w:pPr>
        <w:spacing w:line="600" w:lineRule="exact"/>
        <w:ind w:firstLine="640"/>
        <w:outlineLvl w:val="2"/>
        <w:rPr>
          <w:rFonts w:ascii="宋体" w:hAnsi="宋体" w:eastAsia="仿宋_GB2312"/>
          <w:b/>
          <w:sz w:val="32"/>
          <w:szCs w:val="32"/>
        </w:rPr>
      </w:pPr>
      <w:bookmarkStart w:id="38" w:name="_Toc15377216"/>
      <w:r>
        <w:rPr>
          <w:rFonts w:hint="eastAsia" w:ascii="宋体" w:hAnsi="宋体" w:eastAsia="仿宋_GB2312"/>
          <w:b/>
          <w:sz w:val="32"/>
          <w:szCs w:val="32"/>
        </w:rPr>
        <w:t>（一）“三公”经费财政拨款支出决算总体情况说明</w:t>
      </w:r>
      <w:bookmarkEnd w:id="38"/>
    </w:p>
    <w:p>
      <w:pPr>
        <w:spacing w:line="600" w:lineRule="exact"/>
        <w:ind w:firstLine="640"/>
        <w:rPr>
          <w:rFonts w:ascii="宋体" w:hAnsi="宋体" w:eastAsia="仿宋_GB2312"/>
          <w:sz w:val="32"/>
          <w:szCs w:val="32"/>
        </w:rPr>
      </w:pPr>
      <w:r>
        <w:rPr>
          <w:rFonts w:hint="eastAsia" w:ascii="宋体" w:hAnsi="宋体" w:eastAsia="仿宋_GB2312"/>
          <w:sz w:val="32"/>
          <w:szCs w:val="32"/>
        </w:rPr>
        <w:t>2022年“三公”经费财政拨款支出决算为75.89万元，完成预算96.31%，较上年增加15.87万元，增长26.44%。决算数小于预算数的主要原因是加强对“三公”经费的管理，进一步压减“三公”经费开支。</w:t>
      </w:r>
    </w:p>
    <w:p>
      <w:pPr>
        <w:spacing w:line="600" w:lineRule="exact"/>
        <w:ind w:firstLine="640"/>
        <w:outlineLvl w:val="2"/>
        <w:rPr>
          <w:rFonts w:ascii="宋体" w:hAnsi="宋体" w:eastAsia="仿宋_GB2312"/>
          <w:b/>
          <w:sz w:val="32"/>
          <w:szCs w:val="32"/>
        </w:rPr>
      </w:pPr>
      <w:bookmarkStart w:id="39" w:name="_Toc15377217"/>
      <w:r>
        <w:rPr>
          <w:rFonts w:hint="eastAsia" w:ascii="宋体" w:hAnsi="宋体" w:eastAsia="仿宋_GB2312"/>
          <w:b/>
          <w:sz w:val="32"/>
          <w:szCs w:val="32"/>
        </w:rPr>
        <w:t>（二）“三公”经费财政拨款支出决算具体情况说明</w:t>
      </w:r>
      <w:bookmarkEnd w:id="39"/>
    </w:p>
    <w:p>
      <w:pPr>
        <w:spacing w:line="600" w:lineRule="exact"/>
        <w:ind w:firstLine="640"/>
        <w:rPr>
          <w:rFonts w:ascii="宋体" w:hAnsi="宋体" w:eastAsia="仿宋_GB2312"/>
          <w:b/>
          <w:sz w:val="32"/>
          <w:szCs w:val="32"/>
        </w:rPr>
      </w:pPr>
      <w:r>
        <w:rPr>
          <w:rFonts w:ascii="宋体" w:hAnsi="宋体" w:eastAsia="仿宋_GB2312"/>
          <w:b/>
          <w:sz w:val="32"/>
          <w:szCs w:val="32"/>
        </w:rPr>
        <w:pict>
          <v:shape id="Picture 7" o:spid="_x0000_s1033" o:spt="75" type="#_x0000_t75" style="position:absolute;left:0pt;margin-left:190.5pt;margin-top:315.75pt;height:196.5pt;width:217.45pt;mso-position-horizontal-relative:page;mso-position-vertical-relative:page;mso-wrap-distance-bottom:0pt;mso-wrap-distance-top:0pt;z-index:251659264;mso-width-relative:page;mso-height-relative:page;" filled="f" o:preferrelative="t" stroked="f" coordsize="21600,21600">
            <v:path/>
            <v:fill on="f" focussize="0,0"/>
            <v:stroke on="f" joinstyle="miter"/>
            <v:imagedata r:id="rId13" o:title=""/>
            <o:lock v:ext="edit" aspectratio="t"/>
            <w10:wrap type="topAndBottom"/>
          </v:shape>
        </w:pict>
      </w:r>
      <w:r>
        <w:rPr>
          <w:rFonts w:hint="eastAsia" w:ascii="宋体" w:hAnsi="宋体" w:eastAsia="仿宋_GB2312"/>
          <w:sz w:val="32"/>
          <w:szCs w:val="32"/>
        </w:rPr>
        <w:t>2022年“三公”经费财政拨款支出决算中，因公出国（境）费支出决算0万元，占0%；公务用车购置及运行维护费支出决算73.95万元，占97.44%；公务接待费支出决算1.94万元，占2.56%。具体情况如下：</w:t>
      </w:r>
    </w:p>
    <w:p>
      <w:pPr>
        <w:pStyle w:val="5"/>
        <w:spacing w:before="93"/>
        <w:ind w:firstLine="643" w:firstLineChars="200"/>
        <w:rPr>
          <w:rFonts w:ascii="宋体" w:hAnsi="宋体"/>
          <w:sz w:val="32"/>
          <w:szCs w:val="32"/>
        </w:rPr>
      </w:pPr>
      <w:r>
        <w:rPr>
          <w:rFonts w:hint="eastAsia" w:ascii="宋体" w:hAnsi="宋体"/>
          <w:b/>
          <w:kern w:val="2"/>
          <w:sz w:val="32"/>
          <w:szCs w:val="32"/>
        </w:rPr>
        <w:t>1.因公出国（境）经费支出0</w:t>
      </w:r>
      <w:r>
        <w:rPr>
          <w:rFonts w:hint="eastAsia" w:ascii="宋体" w:hAnsi="宋体"/>
          <w:sz w:val="32"/>
          <w:szCs w:val="32"/>
        </w:rPr>
        <w:t>万元，</w:t>
      </w:r>
      <w:r>
        <w:rPr>
          <w:rStyle w:val="15"/>
          <w:rFonts w:hint="eastAsia" w:ascii="宋体" w:hAnsi="宋体"/>
          <w:b w:val="0"/>
          <w:bCs/>
          <w:sz w:val="32"/>
          <w:szCs w:val="32"/>
        </w:rPr>
        <w:t>完成预算0%。</w:t>
      </w:r>
      <w:r>
        <w:rPr>
          <w:rFonts w:hint="eastAsia" w:ascii="宋体" w:hAnsi="宋体"/>
          <w:sz w:val="32"/>
          <w:szCs w:val="32"/>
        </w:rPr>
        <w:t>全年安排因公出国（境）团组0次，出国（境）0人。因公出国（境）支出决算比2021年持平。主要原因是未安排因公出国计划。</w:t>
      </w:r>
    </w:p>
    <w:p>
      <w:pPr>
        <w:pStyle w:val="5"/>
        <w:spacing w:before="93"/>
        <w:rPr>
          <w:rFonts w:ascii="宋体" w:hAnsi="宋体"/>
        </w:rPr>
      </w:pPr>
      <w:r>
        <w:rPr>
          <w:rFonts w:hint="eastAsia" w:ascii="宋体" w:hAnsi="宋体"/>
          <w:sz w:val="32"/>
          <w:szCs w:val="32"/>
        </w:rPr>
        <w:t xml:space="preserve">    开支内容：无</w:t>
      </w:r>
    </w:p>
    <w:p>
      <w:pPr>
        <w:spacing w:line="600" w:lineRule="exact"/>
        <w:ind w:firstLine="640"/>
        <w:rPr>
          <w:rFonts w:ascii="宋体" w:hAnsi="宋体" w:eastAsia="仿宋_GB2312"/>
          <w:b/>
          <w:sz w:val="32"/>
          <w:szCs w:val="32"/>
        </w:rPr>
      </w:pPr>
      <w:r>
        <w:rPr>
          <w:rFonts w:hint="eastAsia" w:ascii="宋体" w:hAnsi="宋体" w:eastAsia="仿宋_GB2312"/>
          <w:b/>
          <w:sz w:val="32"/>
          <w:szCs w:val="32"/>
        </w:rPr>
        <w:t>2.公务用车购置及运行维护费支出</w:t>
      </w:r>
      <w:r>
        <w:rPr>
          <w:rFonts w:hint="eastAsia" w:ascii="宋体" w:hAnsi="宋体" w:eastAsia="仿宋_GB2312"/>
          <w:sz w:val="32"/>
          <w:szCs w:val="32"/>
        </w:rPr>
        <w:t>73.95万元,</w:t>
      </w:r>
      <w:r>
        <w:rPr>
          <w:rStyle w:val="15"/>
          <w:rFonts w:hint="eastAsia" w:ascii="宋体" w:hAnsi="宋体" w:eastAsia="仿宋_GB2312"/>
          <w:b w:val="0"/>
          <w:bCs/>
          <w:sz w:val="32"/>
          <w:szCs w:val="32"/>
        </w:rPr>
        <w:t>完成预算99.93%。</w:t>
      </w:r>
      <w:r>
        <w:rPr>
          <w:rFonts w:hint="eastAsia" w:ascii="宋体" w:hAnsi="宋体" w:eastAsia="仿宋_GB2312"/>
          <w:sz w:val="32"/>
          <w:szCs w:val="32"/>
        </w:rPr>
        <w:t>公务用车购置及运行维护费支出决算比2021年增加19.93万元，增长36.89%。主要原因是2022年购置一辆公务用车。</w:t>
      </w:r>
    </w:p>
    <w:p>
      <w:pPr>
        <w:spacing w:line="600" w:lineRule="exact"/>
        <w:ind w:firstLine="640" w:firstLineChars="200"/>
        <w:rPr>
          <w:rFonts w:ascii="宋体" w:hAnsi="宋体" w:eastAsia="仿宋_GB2312"/>
          <w:b/>
          <w:sz w:val="32"/>
          <w:szCs w:val="32"/>
        </w:rPr>
      </w:pPr>
      <w:r>
        <w:rPr>
          <w:rFonts w:hint="eastAsia" w:ascii="宋体" w:hAnsi="宋体" w:eastAsia="仿宋_GB2312"/>
          <w:sz w:val="32"/>
          <w:szCs w:val="32"/>
        </w:rPr>
        <w:t>其中：</w:t>
      </w:r>
      <w:r>
        <w:rPr>
          <w:rFonts w:hint="eastAsia" w:ascii="宋体" w:hAnsi="宋体" w:eastAsia="仿宋_GB2312"/>
          <w:b/>
          <w:sz w:val="32"/>
          <w:szCs w:val="32"/>
        </w:rPr>
        <w:t>公务用车购置支出</w:t>
      </w:r>
      <w:r>
        <w:rPr>
          <w:rFonts w:hint="eastAsia" w:ascii="宋体" w:hAnsi="宋体" w:eastAsia="仿宋_GB2312"/>
          <w:sz w:val="32"/>
          <w:szCs w:val="32"/>
        </w:rPr>
        <w:t>14万元。全年按规定更新购置公务用车1辆，其中：轿车1辆、金额14万元，主要用于公务出行。截至2022年12月底，单位共有公务用车23辆，其中：轿车5辆、越野车5辆、载客汽车13辆。</w:t>
      </w:r>
    </w:p>
    <w:p>
      <w:pPr>
        <w:spacing w:line="600" w:lineRule="exact"/>
        <w:ind w:firstLine="640"/>
        <w:rPr>
          <w:rFonts w:ascii="宋体" w:hAnsi="宋体" w:eastAsia="仿宋_GB2312"/>
          <w:sz w:val="32"/>
          <w:szCs w:val="32"/>
        </w:rPr>
      </w:pPr>
      <w:r>
        <w:rPr>
          <w:rFonts w:hint="eastAsia" w:ascii="宋体" w:hAnsi="宋体" w:eastAsia="仿宋_GB2312"/>
          <w:b/>
          <w:sz w:val="32"/>
          <w:szCs w:val="32"/>
        </w:rPr>
        <w:t>公务用车运行维护费支出</w:t>
      </w:r>
      <w:r>
        <w:rPr>
          <w:rFonts w:hint="eastAsia" w:ascii="宋体" w:hAnsi="宋体" w:eastAsia="仿宋_GB2312"/>
          <w:sz w:val="32"/>
          <w:szCs w:val="32"/>
        </w:rPr>
        <w:t>59.95万元。主要用于工作出行等所需的公务用车燃料费、维修费、过路过桥费、保险费等支出。</w:t>
      </w:r>
    </w:p>
    <w:p>
      <w:pPr>
        <w:spacing w:line="600" w:lineRule="exact"/>
        <w:ind w:firstLine="640"/>
        <w:rPr>
          <w:rFonts w:ascii="宋体" w:hAnsi="宋体" w:eastAsia="仿宋_GB2312"/>
          <w:sz w:val="32"/>
          <w:szCs w:val="32"/>
        </w:rPr>
      </w:pPr>
      <w:r>
        <w:rPr>
          <w:rFonts w:hint="eastAsia" w:ascii="宋体" w:hAnsi="宋体" w:eastAsia="仿宋_GB2312"/>
          <w:b/>
          <w:sz w:val="32"/>
          <w:szCs w:val="32"/>
        </w:rPr>
        <w:t>2.公务接待费支出</w:t>
      </w:r>
      <w:r>
        <w:rPr>
          <w:rFonts w:hint="eastAsia" w:ascii="宋体" w:hAnsi="宋体" w:eastAsia="仿宋_GB2312"/>
          <w:sz w:val="32"/>
          <w:szCs w:val="32"/>
        </w:rPr>
        <w:t>1.94万元，</w:t>
      </w:r>
      <w:r>
        <w:rPr>
          <w:rStyle w:val="15"/>
          <w:rFonts w:hint="eastAsia" w:ascii="宋体" w:hAnsi="宋体" w:eastAsia="仿宋_GB2312"/>
          <w:b w:val="0"/>
          <w:bCs/>
          <w:sz w:val="32"/>
          <w:szCs w:val="32"/>
        </w:rPr>
        <w:t>完成预算40.41%。</w:t>
      </w:r>
      <w:r>
        <w:rPr>
          <w:rFonts w:hint="eastAsia" w:ascii="宋体" w:hAnsi="宋体" w:eastAsia="仿宋_GB2312"/>
          <w:sz w:val="32"/>
          <w:szCs w:val="32"/>
        </w:rPr>
        <w:t>公务接待费支出决算比2021年减少4.05万元，下降67.5%。主要原因是按照厉行节约相关规定，加强公务接待工作管理，严格控制公务接待经费支出。其中：</w:t>
      </w:r>
    </w:p>
    <w:p>
      <w:pPr>
        <w:spacing w:line="600" w:lineRule="exact"/>
        <w:ind w:firstLine="640"/>
        <w:rPr>
          <w:rFonts w:ascii="宋体" w:hAnsi="宋体" w:eastAsia="仿宋_GB2312"/>
          <w:sz w:val="32"/>
          <w:szCs w:val="32"/>
        </w:rPr>
      </w:pPr>
      <w:r>
        <w:rPr>
          <w:rFonts w:hint="eastAsia" w:ascii="宋体" w:hAnsi="宋体" w:eastAsia="仿宋_GB2312"/>
          <w:b/>
          <w:sz w:val="32"/>
          <w:szCs w:val="32"/>
        </w:rPr>
        <w:t>国内公务接待支出</w:t>
      </w:r>
      <w:r>
        <w:rPr>
          <w:rFonts w:hint="eastAsia" w:ascii="宋体" w:hAnsi="宋体" w:eastAsia="仿宋_GB2312"/>
          <w:sz w:val="32"/>
          <w:szCs w:val="32"/>
        </w:rPr>
        <w:t>1.94万元，主要用于执行公务、开展业务活动开支的用餐费。国内公务接待14批次，178人次（不包括陪同人员），共计支出1.94万元，具体内容包括：监狱与地方政法部门办理业务协作等。</w:t>
      </w:r>
      <w:bookmarkStart w:id="40" w:name="_Toc15396610"/>
      <w:bookmarkStart w:id="41" w:name="_Toc15377218"/>
    </w:p>
    <w:p>
      <w:pPr>
        <w:spacing w:line="600" w:lineRule="exact"/>
        <w:ind w:firstLine="640"/>
        <w:rPr>
          <w:rFonts w:ascii="宋体" w:hAnsi="宋体" w:eastAsia="仿宋_GB2312"/>
          <w:sz w:val="32"/>
          <w:szCs w:val="32"/>
        </w:rPr>
      </w:pPr>
      <w:r>
        <w:rPr>
          <w:rFonts w:hint="eastAsia" w:ascii="宋体" w:hAnsi="宋体" w:eastAsia="仿宋_GB2312"/>
          <w:sz w:val="32"/>
          <w:szCs w:val="32"/>
        </w:rPr>
        <w:t>外事接待支出0万元。</w:t>
      </w:r>
    </w:p>
    <w:p>
      <w:pPr>
        <w:spacing w:line="600" w:lineRule="exact"/>
        <w:ind w:firstLine="640"/>
        <w:outlineLvl w:val="1"/>
        <w:rPr>
          <w:rStyle w:val="28"/>
          <w:rFonts w:ascii="宋体" w:hAnsi="宋体" w:eastAsia="黑体"/>
        </w:rPr>
      </w:pPr>
      <w:r>
        <w:rPr>
          <w:rFonts w:hint="eastAsia" w:ascii="宋体" w:hAnsi="宋体" w:eastAsia="黑体"/>
          <w:sz w:val="32"/>
          <w:szCs w:val="32"/>
        </w:rPr>
        <w:t>八、</w:t>
      </w:r>
      <w:r>
        <w:rPr>
          <w:rStyle w:val="28"/>
          <w:rFonts w:hint="eastAsia" w:ascii="宋体" w:hAnsi="宋体" w:eastAsia="黑体"/>
          <w:b w:val="0"/>
        </w:rPr>
        <w:t>政府性基金预算支出决算情况说明</w:t>
      </w:r>
      <w:bookmarkEnd w:id="40"/>
      <w:bookmarkEnd w:id="41"/>
    </w:p>
    <w:p>
      <w:pPr>
        <w:spacing w:line="600" w:lineRule="exact"/>
        <w:ind w:firstLine="640"/>
        <w:rPr>
          <w:rFonts w:ascii="宋体" w:hAnsi="宋体" w:eastAsia="仿宋_GB2312"/>
          <w:sz w:val="32"/>
          <w:szCs w:val="32"/>
        </w:rPr>
      </w:pPr>
      <w:r>
        <w:rPr>
          <w:rFonts w:ascii="宋体" w:hAnsi="宋体" w:eastAsia="仿宋_GB2312"/>
          <w:sz w:val="32"/>
          <w:szCs w:val="32"/>
        </w:rPr>
        <w:t>20</w:t>
      </w:r>
      <w:r>
        <w:rPr>
          <w:rFonts w:hint="eastAsia" w:ascii="宋体" w:hAnsi="宋体" w:eastAsia="仿宋_GB2312"/>
          <w:sz w:val="32"/>
          <w:szCs w:val="32"/>
        </w:rPr>
        <w:t>22年无政府性基金预算财政拨款支。</w:t>
      </w:r>
    </w:p>
    <w:p>
      <w:pPr>
        <w:numPr>
          <w:ilvl w:val="0"/>
          <w:numId w:val="3"/>
        </w:numPr>
        <w:spacing w:line="600" w:lineRule="exact"/>
        <w:ind w:firstLine="640"/>
        <w:outlineLvl w:val="1"/>
        <w:rPr>
          <w:rStyle w:val="28"/>
          <w:rFonts w:ascii="宋体" w:hAnsi="宋体" w:eastAsia="黑体"/>
          <w:b w:val="0"/>
        </w:rPr>
      </w:pPr>
      <w:bookmarkStart w:id="42" w:name="_Toc15396611"/>
      <w:bookmarkStart w:id="43" w:name="_Toc15377219"/>
      <w:r>
        <w:rPr>
          <w:rStyle w:val="28"/>
          <w:rFonts w:hint="eastAsia" w:ascii="宋体" w:hAnsi="宋体" w:eastAsia="黑体"/>
          <w:b w:val="0"/>
        </w:rPr>
        <w:t>国有资本经营预算支出决算情况说明</w:t>
      </w:r>
      <w:bookmarkEnd w:id="42"/>
      <w:bookmarkEnd w:id="43"/>
    </w:p>
    <w:p>
      <w:pPr>
        <w:spacing w:line="600" w:lineRule="exact"/>
        <w:ind w:firstLine="640"/>
        <w:rPr>
          <w:rFonts w:ascii="宋体" w:hAnsi="宋体" w:eastAsia="仿宋_GB2312" w:cs="方正小标宋简体"/>
          <w:sz w:val="44"/>
          <w:szCs w:val="44"/>
        </w:rPr>
      </w:pPr>
      <w:r>
        <w:rPr>
          <w:rFonts w:ascii="宋体" w:hAnsi="宋体" w:eastAsia="仿宋_GB2312"/>
          <w:sz w:val="32"/>
          <w:szCs w:val="32"/>
        </w:rPr>
        <w:t>20</w:t>
      </w:r>
      <w:r>
        <w:rPr>
          <w:rFonts w:hint="eastAsia" w:ascii="宋体" w:hAnsi="宋体" w:eastAsia="仿宋_GB2312"/>
          <w:sz w:val="32"/>
          <w:szCs w:val="32"/>
        </w:rPr>
        <w:t>22年无国有资本经营预算财政拨款支出。</w:t>
      </w:r>
    </w:p>
    <w:p>
      <w:pPr>
        <w:numPr>
          <w:ilvl w:val="0"/>
          <w:numId w:val="3"/>
        </w:numPr>
        <w:spacing w:line="600" w:lineRule="exact"/>
        <w:ind w:firstLine="640"/>
        <w:outlineLvl w:val="1"/>
        <w:rPr>
          <w:rStyle w:val="28"/>
          <w:rFonts w:ascii="宋体" w:hAnsi="宋体" w:eastAsia="黑体"/>
          <w:b w:val="0"/>
        </w:rPr>
      </w:pPr>
      <w:bookmarkStart w:id="44" w:name="_Toc15377221"/>
      <w:bookmarkStart w:id="45" w:name="_Toc15396612"/>
      <w:r>
        <w:rPr>
          <w:rStyle w:val="28"/>
          <w:rFonts w:hint="eastAsia" w:ascii="宋体" w:hAnsi="宋体" w:eastAsia="黑体"/>
          <w:b w:val="0"/>
        </w:rPr>
        <w:t>其他重要事项的情况说明</w:t>
      </w:r>
      <w:bookmarkEnd w:id="44"/>
      <w:bookmarkEnd w:id="45"/>
    </w:p>
    <w:p>
      <w:pPr>
        <w:autoSpaceDE w:val="0"/>
        <w:autoSpaceDN w:val="0"/>
        <w:adjustRightInd w:val="0"/>
        <w:spacing w:line="600" w:lineRule="exact"/>
        <w:ind w:firstLine="643" w:firstLineChars="200"/>
        <w:jc w:val="left"/>
        <w:outlineLvl w:val="2"/>
        <w:rPr>
          <w:rFonts w:ascii="宋体" w:hAnsi="宋体" w:eastAsia="仿宋_GB2312"/>
          <w:b/>
          <w:sz w:val="32"/>
          <w:szCs w:val="32"/>
        </w:rPr>
      </w:pPr>
      <w:bookmarkStart w:id="46" w:name="_Toc15377222"/>
      <w:r>
        <w:rPr>
          <w:rFonts w:hint="eastAsia" w:ascii="宋体" w:hAnsi="宋体" w:eastAsia="仿宋_GB2312"/>
          <w:b/>
          <w:sz w:val="32"/>
          <w:szCs w:val="32"/>
        </w:rPr>
        <w:t>（一）机关运行经费支出情况</w:t>
      </w:r>
      <w:bookmarkEnd w:id="46"/>
    </w:p>
    <w:p>
      <w:pPr>
        <w:spacing w:line="600" w:lineRule="exact"/>
        <w:ind w:firstLine="640" w:firstLineChars="200"/>
        <w:rPr>
          <w:rFonts w:ascii="宋体" w:hAnsi="宋体" w:eastAsia="仿宋_GB2312"/>
          <w:sz w:val="32"/>
          <w:szCs w:val="32"/>
        </w:rPr>
      </w:pPr>
      <w:r>
        <w:rPr>
          <w:rFonts w:ascii="宋体" w:hAnsi="宋体" w:eastAsia="仿宋_GB2312"/>
          <w:sz w:val="32"/>
          <w:szCs w:val="32"/>
        </w:rPr>
        <w:t>20</w:t>
      </w:r>
      <w:r>
        <w:rPr>
          <w:rFonts w:hint="eastAsia" w:ascii="宋体" w:hAnsi="宋体" w:eastAsia="仿宋_GB2312"/>
          <w:sz w:val="32"/>
          <w:szCs w:val="32"/>
        </w:rPr>
        <w:t>22年，荞窝监狱机关运行经费支出1,832.47万元，比</w:t>
      </w:r>
      <w:r>
        <w:rPr>
          <w:rFonts w:ascii="宋体" w:hAnsi="宋体" w:eastAsia="仿宋_GB2312"/>
          <w:sz w:val="32"/>
          <w:szCs w:val="32"/>
        </w:rPr>
        <w:t>20</w:t>
      </w:r>
      <w:r>
        <w:rPr>
          <w:rFonts w:hint="eastAsia" w:ascii="宋体" w:hAnsi="宋体" w:eastAsia="仿宋_GB2312"/>
          <w:sz w:val="32"/>
          <w:szCs w:val="32"/>
        </w:rPr>
        <w:t>21年增加116.28万元，增长6.77</w:t>
      </w:r>
      <w:r>
        <w:rPr>
          <w:rFonts w:ascii="宋体" w:hAnsi="宋体" w:eastAsia="仿宋_GB2312"/>
          <w:sz w:val="32"/>
          <w:szCs w:val="32"/>
        </w:rPr>
        <w:t>%</w:t>
      </w:r>
      <w:r>
        <w:rPr>
          <w:rFonts w:hint="eastAsia" w:ascii="宋体" w:hAnsi="宋体" w:eastAsia="仿宋_GB2312"/>
          <w:sz w:val="32"/>
          <w:szCs w:val="32"/>
        </w:rPr>
        <w:t>。主要原因是2022年执行新的监狱经费保障标准，监狱业务经费支出相应增加。</w:t>
      </w:r>
    </w:p>
    <w:p>
      <w:pPr>
        <w:autoSpaceDE w:val="0"/>
        <w:autoSpaceDN w:val="0"/>
        <w:adjustRightInd w:val="0"/>
        <w:spacing w:line="600" w:lineRule="exact"/>
        <w:ind w:firstLine="643" w:firstLineChars="200"/>
        <w:jc w:val="left"/>
        <w:outlineLvl w:val="2"/>
        <w:rPr>
          <w:rFonts w:ascii="宋体" w:hAnsi="宋体" w:eastAsia="仿宋_GB2312"/>
          <w:b/>
          <w:sz w:val="32"/>
          <w:szCs w:val="32"/>
        </w:rPr>
      </w:pPr>
      <w:bookmarkStart w:id="47" w:name="_Toc15377223"/>
      <w:r>
        <w:rPr>
          <w:rFonts w:hint="eastAsia" w:ascii="宋体" w:hAnsi="宋体" w:eastAsia="仿宋_GB2312"/>
          <w:b/>
          <w:sz w:val="32"/>
          <w:szCs w:val="32"/>
        </w:rPr>
        <w:t>（二）政府采购支出情况</w:t>
      </w:r>
      <w:bookmarkEnd w:id="47"/>
    </w:p>
    <w:p>
      <w:pPr>
        <w:spacing w:line="600" w:lineRule="exact"/>
        <w:ind w:firstLine="640" w:firstLineChars="200"/>
        <w:rPr>
          <w:rFonts w:ascii="宋体" w:hAnsi="宋体" w:eastAsia="仿宋_GB2312"/>
          <w:sz w:val="32"/>
          <w:szCs w:val="32"/>
        </w:rPr>
      </w:pPr>
      <w:r>
        <w:rPr>
          <w:rFonts w:ascii="宋体" w:hAnsi="宋体" w:eastAsia="仿宋_GB2312"/>
          <w:sz w:val="32"/>
          <w:szCs w:val="32"/>
        </w:rPr>
        <w:t>20</w:t>
      </w:r>
      <w:r>
        <w:rPr>
          <w:rFonts w:hint="eastAsia" w:ascii="宋体" w:hAnsi="宋体" w:eastAsia="仿宋_GB2312"/>
          <w:sz w:val="32"/>
          <w:szCs w:val="32"/>
        </w:rPr>
        <w:t>22年，荞窝监狱政府采购支出总额952.60万元，其中：政府采购货物支出782.60万元、政府采购服务支出170.00万元。主要用于保障罪犯生活物资及信息化运维等。授予中小企业合同金额768.82万元，占政府采购支出总额的80.70</w:t>
      </w:r>
      <w:r>
        <w:rPr>
          <w:rFonts w:ascii="宋体" w:hAnsi="宋体" w:eastAsia="仿宋_GB2312"/>
          <w:sz w:val="32"/>
          <w:szCs w:val="32"/>
        </w:rPr>
        <w:t>%</w:t>
      </w:r>
      <w:r>
        <w:rPr>
          <w:rFonts w:hint="eastAsia" w:ascii="宋体" w:hAnsi="宋体" w:eastAsia="仿宋_GB2312"/>
          <w:sz w:val="32"/>
          <w:szCs w:val="32"/>
        </w:rPr>
        <w:t>，其中：授予小微企业合同金额768.82万元，占政府采购支出总额的80.70</w:t>
      </w:r>
      <w:r>
        <w:rPr>
          <w:rFonts w:ascii="宋体" w:hAnsi="宋体" w:eastAsia="仿宋_GB2312"/>
          <w:sz w:val="32"/>
          <w:szCs w:val="32"/>
        </w:rPr>
        <w:t>%</w:t>
      </w:r>
      <w:r>
        <w:rPr>
          <w:rFonts w:hint="eastAsia" w:ascii="宋体" w:hAnsi="宋体" w:eastAsia="仿宋_GB2312"/>
          <w:sz w:val="32"/>
          <w:szCs w:val="32"/>
        </w:rPr>
        <w:t>。</w:t>
      </w:r>
    </w:p>
    <w:p>
      <w:pPr>
        <w:autoSpaceDE w:val="0"/>
        <w:autoSpaceDN w:val="0"/>
        <w:adjustRightInd w:val="0"/>
        <w:spacing w:line="600" w:lineRule="exact"/>
        <w:ind w:firstLine="643" w:firstLineChars="200"/>
        <w:jc w:val="left"/>
        <w:outlineLvl w:val="2"/>
        <w:rPr>
          <w:rFonts w:ascii="宋体" w:hAnsi="宋体" w:eastAsia="仿宋_GB2312"/>
          <w:b/>
          <w:sz w:val="32"/>
          <w:szCs w:val="32"/>
        </w:rPr>
      </w:pPr>
      <w:bookmarkStart w:id="48" w:name="_Toc15377224"/>
      <w:r>
        <w:rPr>
          <w:rFonts w:hint="eastAsia" w:ascii="宋体" w:hAnsi="宋体" w:eastAsia="仿宋_GB2312"/>
          <w:b/>
          <w:sz w:val="32"/>
          <w:szCs w:val="32"/>
        </w:rPr>
        <w:t>（三）国有资产占有使用情况</w:t>
      </w:r>
      <w:bookmarkEnd w:id="48"/>
    </w:p>
    <w:p>
      <w:pPr>
        <w:autoSpaceDE w:val="0"/>
        <w:autoSpaceDN w:val="0"/>
        <w:adjustRightInd w:val="0"/>
        <w:spacing w:line="600" w:lineRule="exact"/>
        <w:ind w:firstLine="640" w:firstLineChars="200"/>
        <w:jc w:val="left"/>
        <w:rPr>
          <w:rFonts w:ascii="宋体" w:hAnsi="宋体" w:eastAsia="仿宋_GB2312"/>
          <w:sz w:val="32"/>
          <w:szCs w:val="32"/>
        </w:rPr>
      </w:pPr>
      <w:r>
        <w:rPr>
          <w:rFonts w:hint="eastAsia" w:ascii="宋体" w:hAnsi="宋体" w:eastAsia="仿宋_GB2312"/>
          <w:sz w:val="32"/>
          <w:szCs w:val="32"/>
        </w:rPr>
        <w:t>截至</w:t>
      </w:r>
      <w:r>
        <w:rPr>
          <w:rFonts w:ascii="宋体" w:hAnsi="宋体" w:eastAsia="仿宋_GB2312"/>
          <w:sz w:val="32"/>
          <w:szCs w:val="32"/>
        </w:rPr>
        <w:t>20</w:t>
      </w:r>
      <w:r>
        <w:rPr>
          <w:rFonts w:hint="eastAsia" w:ascii="宋体" w:hAnsi="宋体" w:eastAsia="仿宋_GB2312"/>
          <w:sz w:val="32"/>
          <w:szCs w:val="32"/>
        </w:rPr>
        <w:t>22年</w:t>
      </w:r>
      <w:r>
        <w:rPr>
          <w:rFonts w:ascii="宋体" w:hAnsi="宋体" w:eastAsia="仿宋_GB2312"/>
          <w:sz w:val="32"/>
          <w:szCs w:val="32"/>
        </w:rPr>
        <w:t>12</w:t>
      </w:r>
      <w:r>
        <w:rPr>
          <w:rFonts w:hint="eastAsia" w:ascii="宋体" w:hAnsi="宋体" w:eastAsia="仿宋_GB2312"/>
          <w:sz w:val="32"/>
          <w:szCs w:val="32"/>
        </w:rPr>
        <w:t>月</w:t>
      </w:r>
      <w:r>
        <w:rPr>
          <w:rFonts w:ascii="宋体" w:hAnsi="宋体" w:eastAsia="仿宋_GB2312"/>
          <w:sz w:val="32"/>
          <w:szCs w:val="32"/>
        </w:rPr>
        <w:t>31</w:t>
      </w:r>
      <w:r>
        <w:rPr>
          <w:rFonts w:hint="eastAsia" w:ascii="宋体" w:hAnsi="宋体" w:eastAsia="仿宋_GB2312"/>
          <w:sz w:val="32"/>
          <w:szCs w:val="32"/>
        </w:rPr>
        <w:t>日，荞窝监狱共有车辆23辆，其中：应急保障用车1辆、执法执勤用车11辆、特种专业技术用车9辆、离退休干部用车2辆。单价</w:t>
      </w:r>
      <w:r>
        <w:rPr>
          <w:rFonts w:ascii="宋体" w:hAnsi="宋体" w:eastAsia="仿宋_GB2312"/>
          <w:sz w:val="32"/>
          <w:szCs w:val="32"/>
        </w:rPr>
        <w:t>100</w:t>
      </w:r>
      <w:r>
        <w:rPr>
          <w:rFonts w:hint="eastAsia" w:ascii="宋体" w:hAnsi="宋体" w:eastAsia="仿宋_GB2312"/>
          <w:sz w:val="32"/>
          <w:szCs w:val="32"/>
        </w:rPr>
        <w:t>万元以上专用设备3台（套）。</w:t>
      </w:r>
    </w:p>
    <w:p>
      <w:pPr>
        <w:autoSpaceDE w:val="0"/>
        <w:autoSpaceDN w:val="0"/>
        <w:adjustRightInd w:val="0"/>
        <w:spacing w:line="600" w:lineRule="exact"/>
        <w:ind w:firstLine="643" w:firstLineChars="200"/>
        <w:jc w:val="left"/>
        <w:outlineLvl w:val="2"/>
        <w:rPr>
          <w:rFonts w:ascii="宋体" w:hAnsi="宋体" w:eastAsia="仿宋_GB2312"/>
          <w:b/>
          <w:sz w:val="32"/>
          <w:szCs w:val="32"/>
        </w:rPr>
      </w:pPr>
      <w:r>
        <w:rPr>
          <w:rFonts w:hint="eastAsia" w:ascii="宋体" w:hAnsi="宋体" w:eastAsia="仿宋_GB2312"/>
          <w:b/>
          <w:sz w:val="32"/>
          <w:szCs w:val="32"/>
        </w:rPr>
        <w:t>（四）预算绩效管理情况</w:t>
      </w:r>
    </w:p>
    <w:p>
      <w:pPr>
        <w:pStyle w:val="5"/>
        <w:spacing w:before="93"/>
        <w:ind w:firstLine="640" w:firstLineChars="200"/>
        <w:rPr>
          <w:rFonts w:ascii="宋体" w:hAnsi="宋体"/>
          <w:highlight w:val="yellow"/>
        </w:rPr>
      </w:pPr>
      <w:r>
        <w:rPr>
          <w:rFonts w:hint="eastAsia" w:ascii="宋体" w:hAnsi="宋体" w:cs="仿宋_GB2312"/>
          <w:sz w:val="32"/>
          <w:szCs w:val="32"/>
        </w:rPr>
        <w:t>根据预算绩效管理要求，本单位在2022年度预算编制阶段，组织对特定转移支付</w:t>
      </w:r>
      <w:r>
        <w:rPr>
          <w:rFonts w:hint="eastAsia" w:ascii="宋体" w:hAnsi="宋体"/>
          <w:sz w:val="32"/>
          <w:szCs w:val="32"/>
        </w:rPr>
        <w:t>等1个项目开展了事前绩效评估</w:t>
      </w:r>
      <w:r>
        <w:rPr>
          <w:rFonts w:hint="eastAsia" w:ascii="宋体" w:hAnsi="宋体" w:cs="仿宋_GB2312"/>
          <w:sz w:val="32"/>
          <w:szCs w:val="32"/>
        </w:rPr>
        <w:t>，对20个项目编制了绩效目标，预算执行过程中，选取20个项目开展绩效监控。绩效自评表详见第四部分附件。</w:t>
      </w:r>
      <w:r>
        <w:rPr>
          <w:rFonts w:ascii="宋体" w:hAnsi="宋体" w:cs="仿宋_GB2312"/>
          <w:sz w:val="32"/>
          <w:szCs w:val="32"/>
        </w:rPr>
        <w:br w:type="page"/>
      </w:r>
    </w:p>
    <w:p>
      <w:pPr>
        <w:numPr>
          <w:ilvl w:val="0"/>
          <w:numId w:val="4"/>
        </w:numPr>
        <w:spacing w:line="600" w:lineRule="exact"/>
        <w:ind w:firstLine="660" w:firstLineChars="150"/>
        <w:jc w:val="center"/>
        <w:outlineLvl w:val="0"/>
        <w:rPr>
          <w:rFonts w:ascii="宋体" w:hAnsi="宋体" w:eastAsia="黑体"/>
          <w:sz w:val="44"/>
          <w:szCs w:val="44"/>
        </w:rPr>
      </w:pPr>
      <w:bookmarkStart w:id="49" w:name="_Toc15396613"/>
      <w:bookmarkStart w:id="50" w:name="_Toc15377225"/>
      <w:r>
        <w:rPr>
          <w:rFonts w:hint="eastAsia" w:ascii="宋体" w:hAnsi="宋体" w:eastAsia="黑体"/>
          <w:sz w:val="44"/>
          <w:szCs w:val="44"/>
        </w:rPr>
        <w:t>名词解释</w:t>
      </w:r>
      <w:bookmarkEnd w:id="49"/>
      <w:bookmarkEnd w:id="50"/>
    </w:p>
    <w:p>
      <w:pPr>
        <w:spacing w:line="580" w:lineRule="atLeast"/>
        <w:ind w:right="-218" w:rightChars="-104"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财政拨款收入：</w:t>
      </w:r>
      <w:r>
        <w:rPr>
          <w:rFonts w:hint="eastAsia" w:ascii="宋体" w:hAnsi="宋体" w:eastAsia="仿宋_GB2312" w:cs="仿宋_GB2312"/>
          <w:sz w:val="32"/>
          <w:szCs w:val="32"/>
        </w:rPr>
        <w:t>指省级财政当年拨付的资金。</w:t>
      </w:r>
    </w:p>
    <w:p>
      <w:pPr>
        <w:pStyle w:val="17"/>
        <w:spacing w:line="560" w:lineRule="exact"/>
        <w:ind w:firstLine="640" w:firstLineChars="200"/>
        <w:rPr>
          <w:rFonts w:ascii="宋体" w:hAnsi="宋体" w:eastAsia="仿宋_GB2312"/>
          <w:color w:val="auto"/>
          <w:sz w:val="32"/>
          <w:szCs w:val="32"/>
        </w:rPr>
      </w:pPr>
      <w:r>
        <w:rPr>
          <w:rFonts w:hint="eastAsia" w:ascii="宋体" w:hAnsi="宋体" w:eastAsia="仿宋_GB2312"/>
          <w:color w:val="auto"/>
          <w:sz w:val="32"/>
          <w:szCs w:val="32"/>
        </w:rPr>
        <w:t>2</w:t>
      </w:r>
      <w:r>
        <w:rPr>
          <w:rFonts w:ascii="宋体" w:hAnsi="宋体" w:eastAsia="仿宋_GB2312"/>
          <w:color w:val="auto"/>
          <w:sz w:val="32"/>
          <w:szCs w:val="32"/>
        </w:rPr>
        <w:t>.</w:t>
      </w:r>
      <w:r>
        <w:rPr>
          <w:rFonts w:hint="eastAsia" w:ascii="宋体" w:hAnsi="宋体" w:eastAsia="仿宋_GB2312"/>
          <w:color w:val="auto"/>
          <w:sz w:val="32"/>
          <w:szCs w:val="32"/>
        </w:rPr>
        <w:t>其他收入：</w:t>
      </w:r>
      <w:r>
        <w:rPr>
          <w:rFonts w:hint="eastAsia" w:ascii="宋体" w:hAnsi="宋体" w:eastAsia="仿宋_GB2312" w:cs="仿宋_GB2312"/>
          <w:color w:val="auto"/>
          <w:sz w:val="32"/>
          <w:szCs w:val="32"/>
        </w:rPr>
        <w:t>指除上述“财政拨款收入”、“经营收入”等以外的收入。主要包括省卫健委拨入的离休干部医药费等。</w:t>
      </w:r>
    </w:p>
    <w:p>
      <w:pPr>
        <w:pStyle w:val="17"/>
        <w:spacing w:line="560" w:lineRule="exact"/>
        <w:ind w:firstLine="640" w:firstLineChars="200"/>
        <w:rPr>
          <w:rFonts w:ascii="宋体" w:hAnsi="宋体" w:eastAsia="仿宋_GB2312"/>
          <w:color w:val="auto"/>
          <w:sz w:val="32"/>
          <w:szCs w:val="32"/>
        </w:rPr>
      </w:pPr>
      <w:r>
        <w:rPr>
          <w:rFonts w:hint="eastAsia" w:ascii="宋体" w:hAnsi="宋体" w:eastAsia="仿宋_GB2312"/>
          <w:color w:val="auto"/>
          <w:sz w:val="32"/>
          <w:szCs w:val="32"/>
        </w:rPr>
        <w:t>3</w:t>
      </w:r>
      <w:r>
        <w:rPr>
          <w:rFonts w:ascii="宋体" w:hAnsi="宋体" w:eastAsia="仿宋_GB2312"/>
          <w:color w:val="auto"/>
          <w:sz w:val="32"/>
          <w:szCs w:val="32"/>
        </w:rPr>
        <w:t>.</w:t>
      </w:r>
      <w:r>
        <w:rPr>
          <w:rFonts w:hint="eastAsia" w:ascii="宋体" w:hAnsi="宋体" w:eastAsia="仿宋_GB2312"/>
          <w:color w:val="auto"/>
          <w:sz w:val="32"/>
          <w:szCs w:val="32"/>
        </w:rPr>
        <w:t>年初结转和结余：指以前年度尚未完成、结转到本年按有关规定继续使用的资金。</w:t>
      </w:r>
    </w:p>
    <w:p>
      <w:pPr>
        <w:pStyle w:val="17"/>
        <w:spacing w:line="560" w:lineRule="exact"/>
        <w:ind w:firstLine="640" w:firstLineChars="200"/>
        <w:rPr>
          <w:rFonts w:ascii="宋体" w:hAnsi="宋体" w:eastAsia="仿宋_GB2312"/>
          <w:color w:val="auto"/>
          <w:sz w:val="32"/>
          <w:szCs w:val="32"/>
        </w:rPr>
      </w:pPr>
      <w:r>
        <w:rPr>
          <w:rFonts w:hint="eastAsia" w:ascii="宋体" w:hAnsi="宋体" w:eastAsia="仿宋_GB2312"/>
          <w:color w:val="auto"/>
          <w:sz w:val="32"/>
          <w:szCs w:val="32"/>
        </w:rPr>
        <w:t>4.年末结转和结余：指单位按有关规定结转到下年或以后年度继续使用的资金。</w:t>
      </w:r>
    </w:p>
    <w:p>
      <w:pPr>
        <w:ind w:firstLine="640" w:firstLineChars="200"/>
        <w:rPr>
          <w:rFonts w:ascii="宋体" w:hAnsi="宋体" w:eastAsia="仿宋_GB2312" w:cs="仿宋_GB2312"/>
          <w:sz w:val="32"/>
          <w:szCs w:val="32"/>
        </w:rPr>
      </w:pPr>
      <w:r>
        <w:rPr>
          <w:rFonts w:hint="eastAsia" w:ascii="宋体" w:hAnsi="宋体" w:eastAsia="仿宋_GB2312"/>
          <w:sz w:val="32"/>
          <w:szCs w:val="32"/>
        </w:rPr>
        <w:t>5</w:t>
      </w:r>
      <w:r>
        <w:rPr>
          <w:rFonts w:ascii="宋体" w:hAnsi="宋体" w:eastAsia="仿宋_GB2312"/>
          <w:sz w:val="32"/>
          <w:szCs w:val="32"/>
        </w:rPr>
        <w:t>.</w:t>
      </w:r>
      <w:r>
        <w:rPr>
          <w:rFonts w:hint="eastAsia" w:ascii="宋体" w:hAnsi="宋体" w:eastAsia="仿宋_GB2312"/>
          <w:sz w:val="32"/>
          <w:szCs w:val="32"/>
        </w:rPr>
        <w:t>公共安全支出（类）监狱（款）行政运行（项）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行政单位(包括实行公务员管理的事业单位）的基本支出。</w:t>
      </w:r>
    </w:p>
    <w:p>
      <w:pPr>
        <w:ind w:firstLine="640" w:firstLineChars="200"/>
        <w:rPr>
          <w:rFonts w:ascii="宋体" w:hAnsi="宋体" w:eastAsia="仿宋_GB2312" w:cs="仿宋_GB2312"/>
          <w:sz w:val="32"/>
          <w:szCs w:val="32"/>
        </w:rPr>
      </w:pPr>
      <w:r>
        <w:rPr>
          <w:rFonts w:hint="eastAsia" w:ascii="宋体" w:hAnsi="宋体" w:eastAsia="仿宋_GB2312"/>
          <w:sz w:val="32"/>
          <w:szCs w:val="32"/>
        </w:rPr>
        <w:t>6</w:t>
      </w:r>
      <w:r>
        <w:rPr>
          <w:rFonts w:ascii="宋体" w:hAnsi="宋体" w:eastAsia="仿宋_GB2312"/>
          <w:sz w:val="32"/>
          <w:szCs w:val="32"/>
        </w:rPr>
        <w:t>.</w:t>
      </w:r>
      <w:r>
        <w:rPr>
          <w:rFonts w:hint="eastAsia" w:ascii="宋体" w:hAnsi="宋体" w:eastAsia="仿宋_GB2312"/>
          <w:sz w:val="32"/>
          <w:szCs w:val="32"/>
        </w:rPr>
        <w:t>公共安全支出（类）监狱（款）一般行政管理事务（项）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行政单位(包括实行公务员管理的事业单位）未单独设置项级科目的其他项目支出。</w:t>
      </w:r>
    </w:p>
    <w:p>
      <w:pPr>
        <w:ind w:firstLine="640" w:firstLineChars="200"/>
        <w:rPr>
          <w:rFonts w:ascii="宋体" w:hAnsi="宋体" w:eastAsia="仿宋_GB2312"/>
          <w:sz w:val="32"/>
          <w:szCs w:val="32"/>
        </w:rPr>
      </w:pPr>
      <w:r>
        <w:rPr>
          <w:rFonts w:hint="eastAsia" w:ascii="宋体" w:hAnsi="宋体" w:eastAsia="仿宋_GB2312"/>
          <w:sz w:val="32"/>
          <w:szCs w:val="32"/>
        </w:rPr>
        <w:t>7.教育支出（类）进修及培训（款）培训支出（项）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各部门安排的用于培训的支出。</w:t>
      </w:r>
    </w:p>
    <w:p>
      <w:pPr>
        <w:ind w:firstLine="640" w:firstLineChars="200"/>
        <w:rPr>
          <w:rFonts w:ascii="宋体" w:hAnsi="宋体" w:eastAsia="仿宋_GB2312"/>
          <w:sz w:val="32"/>
          <w:szCs w:val="32"/>
        </w:rPr>
      </w:pPr>
      <w:r>
        <w:rPr>
          <w:rFonts w:hint="eastAsia" w:ascii="宋体" w:hAnsi="宋体" w:eastAsia="仿宋_GB2312"/>
          <w:sz w:val="32"/>
          <w:szCs w:val="32"/>
        </w:rPr>
        <w:t>8</w:t>
      </w:r>
      <w:r>
        <w:rPr>
          <w:rFonts w:ascii="宋体" w:hAnsi="宋体" w:eastAsia="仿宋_GB2312"/>
          <w:sz w:val="32"/>
          <w:szCs w:val="32"/>
        </w:rPr>
        <w:t>.</w:t>
      </w:r>
      <w:r>
        <w:rPr>
          <w:rFonts w:hint="eastAsia" w:ascii="宋体" w:hAnsi="宋体" w:eastAsia="仿宋_GB2312"/>
          <w:sz w:val="32"/>
          <w:szCs w:val="32"/>
        </w:rPr>
        <w:t>社会保障和就业支出（类）行政事业单位养老支出（款）行政单位离退休（项）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行政单位开支的离退休经费。</w:t>
      </w:r>
    </w:p>
    <w:p>
      <w:pPr>
        <w:ind w:firstLine="640" w:firstLineChars="200"/>
        <w:rPr>
          <w:rFonts w:ascii="宋体" w:hAnsi="宋体" w:eastAsia="仿宋_GB2312"/>
          <w:sz w:val="32"/>
          <w:szCs w:val="32"/>
        </w:rPr>
      </w:pPr>
      <w:r>
        <w:rPr>
          <w:rFonts w:hint="eastAsia" w:ascii="宋体" w:hAnsi="宋体" w:eastAsia="仿宋_GB2312"/>
          <w:sz w:val="32"/>
          <w:szCs w:val="32"/>
        </w:rPr>
        <w:t>9</w:t>
      </w:r>
      <w:r>
        <w:rPr>
          <w:rFonts w:ascii="宋体" w:hAnsi="宋体" w:eastAsia="仿宋_GB2312"/>
          <w:sz w:val="32"/>
          <w:szCs w:val="32"/>
        </w:rPr>
        <w:t>.</w:t>
      </w:r>
      <w:r>
        <w:rPr>
          <w:rFonts w:hint="eastAsia" w:ascii="宋体" w:hAnsi="宋体" w:eastAsia="仿宋_GB2312"/>
          <w:sz w:val="32"/>
          <w:szCs w:val="32"/>
        </w:rPr>
        <w:t>社会保障和就业支出（类）行政事业单位养老支出（款）机关事业单位基本养老保险缴费支出（项）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机关事业单位实施养老保险制度由单位缴纳的基本养老保险费支出。</w:t>
      </w:r>
    </w:p>
    <w:p>
      <w:pPr>
        <w:ind w:firstLine="640" w:firstLineChars="200"/>
        <w:rPr>
          <w:rFonts w:ascii="宋体" w:hAnsi="宋体" w:eastAsia="仿宋_GB2312"/>
          <w:sz w:val="32"/>
          <w:szCs w:val="32"/>
        </w:rPr>
      </w:pPr>
      <w:r>
        <w:rPr>
          <w:rFonts w:hint="eastAsia" w:ascii="宋体" w:hAnsi="宋体" w:eastAsia="仿宋_GB2312"/>
          <w:sz w:val="32"/>
          <w:szCs w:val="32"/>
        </w:rPr>
        <w:t>10</w:t>
      </w:r>
      <w:r>
        <w:rPr>
          <w:rFonts w:ascii="宋体" w:hAnsi="宋体" w:eastAsia="仿宋_GB2312"/>
          <w:sz w:val="32"/>
          <w:szCs w:val="32"/>
        </w:rPr>
        <w:t>.</w:t>
      </w:r>
      <w:r>
        <w:rPr>
          <w:rFonts w:hint="eastAsia" w:ascii="宋体" w:hAnsi="宋体" w:eastAsia="仿宋_GB2312"/>
          <w:sz w:val="32"/>
          <w:szCs w:val="32"/>
        </w:rPr>
        <w:t>社会保障和就业支出（类）行政事业单位养老支出（款）机关事业单位职业年金缴费支出（项）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机关事业单位实施养老保险制度由单位实际缴纳的职业年金支出。</w:t>
      </w:r>
    </w:p>
    <w:p>
      <w:pPr>
        <w:ind w:firstLine="640" w:firstLineChars="200"/>
        <w:rPr>
          <w:rFonts w:ascii="宋体" w:hAnsi="宋体" w:eastAsia="仿宋_GB2312"/>
          <w:sz w:val="32"/>
          <w:szCs w:val="32"/>
        </w:rPr>
      </w:pPr>
      <w:r>
        <w:rPr>
          <w:rFonts w:hint="eastAsia" w:ascii="宋体" w:hAnsi="宋体" w:eastAsia="仿宋_GB2312"/>
          <w:sz w:val="32"/>
          <w:szCs w:val="32"/>
        </w:rPr>
        <w:t>11</w:t>
      </w:r>
      <w:r>
        <w:rPr>
          <w:rFonts w:ascii="宋体" w:hAnsi="宋体" w:eastAsia="仿宋_GB2312"/>
          <w:sz w:val="32"/>
          <w:szCs w:val="32"/>
        </w:rPr>
        <w:t>.</w:t>
      </w:r>
      <w:r>
        <w:rPr>
          <w:rFonts w:hint="eastAsia" w:ascii="宋体" w:hAnsi="宋体" w:eastAsia="仿宋_GB2312"/>
          <w:sz w:val="32"/>
          <w:szCs w:val="32"/>
        </w:rPr>
        <w:t>社会保障和就业支出（类）抚恤（款）死亡抚恤（项）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按规定用于烈士和牺牲、病故人员家属的一次性定期抚恤金以及丧葬补助费。</w:t>
      </w:r>
    </w:p>
    <w:p>
      <w:pPr>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2</w:t>
      </w:r>
      <w:r>
        <w:rPr>
          <w:rFonts w:ascii="宋体" w:hAnsi="宋体" w:eastAsia="仿宋_GB2312"/>
          <w:sz w:val="32"/>
          <w:szCs w:val="32"/>
        </w:rPr>
        <w:t>.</w:t>
      </w:r>
      <w:r>
        <w:rPr>
          <w:rFonts w:hint="eastAsia" w:ascii="宋体" w:hAnsi="宋体" w:eastAsia="仿宋_GB2312"/>
          <w:sz w:val="32"/>
          <w:szCs w:val="32"/>
        </w:rPr>
        <w:t>社会保障和就业支出（类）其他社会保障和就业支出（款）其他社会保障和就业支出（项）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其他用于社会保障和就业方面的支出。</w:t>
      </w:r>
    </w:p>
    <w:p>
      <w:pPr>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3</w:t>
      </w:r>
      <w:r>
        <w:rPr>
          <w:rFonts w:ascii="宋体" w:hAnsi="宋体" w:eastAsia="仿宋_GB2312"/>
          <w:sz w:val="32"/>
          <w:szCs w:val="32"/>
        </w:rPr>
        <w:t>.</w:t>
      </w:r>
      <w:r>
        <w:rPr>
          <w:rFonts w:hint="eastAsia" w:ascii="宋体" w:hAnsi="宋体" w:eastAsia="仿宋_GB2312"/>
          <w:sz w:val="32"/>
          <w:szCs w:val="32"/>
        </w:rPr>
        <w:t>卫生健康支出（类）行政事业单位医疗（款）行政单位医疗（项）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财政部门安排的行政单位基本医疗保险缴费经费，未参加医疗保险的行政单位的公费医疗经费，按国家规定享受离休人员、红军老战士待遇人员的医疗经费。</w:t>
      </w:r>
    </w:p>
    <w:p>
      <w:pPr>
        <w:ind w:firstLine="640" w:firstLineChars="200"/>
        <w:rPr>
          <w:rFonts w:ascii="宋体" w:hAnsi="宋体" w:eastAsia="仿宋_GB2312"/>
        </w:rPr>
      </w:pPr>
      <w:r>
        <w:rPr>
          <w:rFonts w:ascii="宋体" w:hAnsi="宋体" w:eastAsia="仿宋_GB2312"/>
          <w:sz w:val="32"/>
          <w:szCs w:val="32"/>
        </w:rPr>
        <w:t>1</w:t>
      </w:r>
      <w:r>
        <w:rPr>
          <w:rFonts w:hint="eastAsia" w:ascii="宋体" w:hAnsi="宋体" w:eastAsia="仿宋_GB2312"/>
          <w:sz w:val="32"/>
          <w:szCs w:val="32"/>
        </w:rPr>
        <w:t>4</w:t>
      </w:r>
      <w:r>
        <w:rPr>
          <w:rFonts w:ascii="宋体" w:hAnsi="宋体" w:eastAsia="仿宋_GB2312"/>
          <w:sz w:val="32"/>
          <w:szCs w:val="32"/>
        </w:rPr>
        <w:t>.</w:t>
      </w:r>
      <w:r>
        <w:rPr>
          <w:rFonts w:hint="eastAsia" w:ascii="宋体" w:hAnsi="宋体" w:eastAsia="仿宋_GB2312"/>
          <w:sz w:val="32"/>
          <w:szCs w:val="32"/>
        </w:rPr>
        <w:t>卫生健康支出（类）行政事业单位医疗（款）公务员医疗补助（项）</w:t>
      </w:r>
      <w:r>
        <w:rPr>
          <w:rFonts w:ascii="宋体" w:hAnsi="宋体" w:eastAsia="仿宋_GB2312"/>
          <w:sz w:val="32"/>
          <w:szCs w:val="32"/>
        </w:rPr>
        <w:t>:</w:t>
      </w:r>
      <w:r>
        <w:rPr>
          <w:rFonts w:hint="eastAsia" w:ascii="宋体" w:hAnsi="宋体" w:eastAsia="仿宋_GB2312"/>
          <w:sz w:val="32"/>
          <w:szCs w:val="32"/>
        </w:rPr>
        <w:t>指</w:t>
      </w:r>
      <w:r>
        <w:rPr>
          <w:rFonts w:hint="eastAsia" w:ascii="宋体" w:hAnsi="宋体" w:eastAsia="仿宋_GB2312" w:cs="仿宋_GB2312"/>
          <w:sz w:val="32"/>
          <w:szCs w:val="32"/>
        </w:rPr>
        <w:t>财政部门安排的公务员医疗补助经费。</w:t>
      </w:r>
    </w:p>
    <w:p>
      <w:pPr>
        <w:ind w:firstLine="640" w:firstLineChars="200"/>
        <w:rPr>
          <w:rFonts w:ascii="宋体" w:hAnsi="宋体" w:eastAsia="仿宋_GB2312"/>
          <w:sz w:val="32"/>
          <w:szCs w:val="32"/>
        </w:rPr>
      </w:pPr>
      <w:r>
        <w:rPr>
          <w:rFonts w:hint="eastAsia" w:ascii="宋体" w:hAnsi="宋体" w:eastAsia="仿宋_GB2312"/>
          <w:sz w:val="32"/>
          <w:szCs w:val="32"/>
        </w:rPr>
        <w:t>15</w:t>
      </w:r>
      <w:r>
        <w:rPr>
          <w:rFonts w:ascii="宋体" w:hAnsi="宋体" w:eastAsia="仿宋_GB2312"/>
          <w:sz w:val="32"/>
          <w:szCs w:val="32"/>
        </w:rPr>
        <w:t>.</w:t>
      </w:r>
      <w:r>
        <w:rPr>
          <w:rFonts w:hint="eastAsia" w:ascii="宋体" w:hAnsi="宋体" w:eastAsia="仿宋_GB2312"/>
          <w:sz w:val="32"/>
          <w:szCs w:val="32"/>
        </w:rPr>
        <w:t>住房保障支出（类）住房改革支出（款）住房公积金（项）：指</w:t>
      </w:r>
      <w:r>
        <w:rPr>
          <w:rFonts w:hint="eastAsia" w:ascii="宋体" w:hAnsi="宋体" w:eastAsia="仿宋_GB2312" w:cs="仿宋_GB2312"/>
          <w:sz w:val="32"/>
          <w:szCs w:val="32"/>
        </w:rPr>
        <w:t>行政事业单位按人力资源和社会保障部、财政部规定的基本工资和津补贴以及规定比例为职工缴纳的住房公积金。</w:t>
      </w:r>
    </w:p>
    <w:p>
      <w:pPr>
        <w:ind w:firstLine="640" w:firstLineChars="200"/>
        <w:rPr>
          <w:rFonts w:ascii="宋体" w:hAnsi="宋体" w:eastAsia="仿宋_GB2312"/>
          <w:sz w:val="32"/>
          <w:szCs w:val="32"/>
        </w:rPr>
      </w:pPr>
      <w:r>
        <w:rPr>
          <w:rFonts w:hint="eastAsia" w:ascii="宋体" w:hAnsi="宋体" w:eastAsia="仿宋_GB2312"/>
          <w:sz w:val="32"/>
          <w:szCs w:val="32"/>
        </w:rPr>
        <w:t>16</w:t>
      </w:r>
      <w:r>
        <w:rPr>
          <w:rFonts w:ascii="宋体" w:hAnsi="宋体" w:eastAsia="仿宋_GB2312"/>
          <w:sz w:val="32"/>
          <w:szCs w:val="32"/>
        </w:rPr>
        <w:t>.</w:t>
      </w:r>
      <w:r>
        <w:rPr>
          <w:rFonts w:hint="eastAsia" w:ascii="宋体" w:hAnsi="宋体" w:eastAsia="仿宋_GB2312"/>
          <w:sz w:val="32"/>
          <w:szCs w:val="32"/>
        </w:rPr>
        <w:t>基本支出：指为保障机构正常运转、完成日常工作任务而发生的人员支出和公用支出。</w:t>
      </w:r>
    </w:p>
    <w:p>
      <w:pPr>
        <w:ind w:firstLine="640" w:firstLineChars="200"/>
        <w:rPr>
          <w:rFonts w:ascii="宋体" w:hAnsi="宋体" w:eastAsia="仿宋_GB2312"/>
          <w:sz w:val="32"/>
          <w:szCs w:val="32"/>
        </w:rPr>
      </w:pPr>
      <w:r>
        <w:rPr>
          <w:rFonts w:hint="eastAsia" w:ascii="宋体" w:hAnsi="宋体" w:eastAsia="仿宋_GB2312"/>
          <w:sz w:val="32"/>
          <w:szCs w:val="32"/>
        </w:rPr>
        <w:t>17</w:t>
      </w:r>
      <w:r>
        <w:rPr>
          <w:rFonts w:ascii="宋体" w:hAnsi="宋体" w:eastAsia="仿宋_GB2312"/>
          <w:sz w:val="32"/>
          <w:szCs w:val="32"/>
        </w:rPr>
        <w:t>.</w:t>
      </w:r>
      <w:r>
        <w:rPr>
          <w:rFonts w:hint="eastAsia" w:ascii="宋体" w:hAnsi="宋体" w:eastAsia="仿宋_GB2312"/>
          <w:sz w:val="32"/>
          <w:szCs w:val="32"/>
        </w:rPr>
        <w:t>项目支出：指在基本支出之外为完成特定行政任务和事业发展目标所发生的支出。</w:t>
      </w:r>
    </w:p>
    <w:p>
      <w:pPr>
        <w:pStyle w:val="17"/>
        <w:spacing w:line="560" w:lineRule="exact"/>
        <w:ind w:firstLine="640" w:firstLineChars="200"/>
        <w:rPr>
          <w:rFonts w:ascii="宋体" w:hAnsi="宋体" w:eastAsia="仿宋_GB2312"/>
          <w:color w:val="auto"/>
          <w:sz w:val="32"/>
          <w:szCs w:val="32"/>
        </w:rPr>
      </w:pPr>
      <w:r>
        <w:rPr>
          <w:rFonts w:hint="eastAsia" w:ascii="宋体" w:hAnsi="宋体" w:eastAsia="仿宋_GB2312"/>
          <w:color w:val="auto"/>
          <w:sz w:val="32"/>
          <w:szCs w:val="32"/>
        </w:rPr>
        <w:t>18</w:t>
      </w:r>
      <w:r>
        <w:rPr>
          <w:rFonts w:ascii="宋体" w:hAnsi="宋体" w:eastAsia="仿宋_GB2312"/>
          <w:color w:val="auto"/>
          <w:sz w:val="32"/>
          <w:szCs w:val="32"/>
        </w:rPr>
        <w:t>.</w:t>
      </w:r>
      <w:r>
        <w:rPr>
          <w:rFonts w:hint="eastAsia" w:ascii="宋体" w:hAnsi="宋体" w:eastAsia="仿宋_GB2312" w:cs="仿宋_GB2312"/>
          <w:color w:val="auto"/>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7"/>
        <w:spacing w:line="560" w:lineRule="exact"/>
        <w:ind w:firstLine="640" w:firstLineChars="200"/>
        <w:rPr>
          <w:rFonts w:ascii="宋体" w:hAnsi="宋体" w:eastAsia="仿宋_GB2312" w:cs="黑体"/>
          <w:color w:val="auto"/>
          <w:sz w:val="32"/>
          <w:szCs w:val="32"/>
        </w:rPr>
      </w:pPr>
      <w:r>
        <w:rPr>
          <w:rFonts w:hint="eastAsia" w:ascii="宋体" w:hAnsi="宋体" w:eastAsia="仿宋_GB2312"/>
          <w:color w:val="auto"/>
          <w:sz w:val="32"/>
          <w:szCs w:val="32"/>
        </w:rPr>
        <w:t>19</w:t>
      </w:r>
      <w:r>
        <w:rPr>
          <w:rFonts w:ascii="宋体" w:hAnsi="宋体" w:eastAsia="仿宋_GB2312"/>
          <w:color w:val="auto"/>
          <w:sz w:val="32"/>
          <w:szCs w:val="32"/>
        </w:rPr>
        <w:t>.</w:t>
      </w:r>
      <w:r>
        <w:rPr>
          <w:rFonts w:hint="eastAsia" w:ascii="宋体" w:hAnsi="宋体"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hAnsi="宋体" w:eastAsia="仿宋_GB2312" w:cs="仿宋_GB2312"/>
          <w:sz w:val="32"/>
          <w:szCs w:val="32"/>
        </w:rPr>
      </w:pPr>
      <w:bookmarkStart w:id="51" w:name="_Toc15377226"/>
      <w:r>
        <w:rPr>
          <w:rFonts w:ascii="宋体" w:hAnsi="宋体" w:eastAsia="仿宋_GB2312"/>
          <w:b/>
          <w:sz w:val="44"/>
          <w:szCs w:val="44"/>
        </w:rPr>
        <w:br w:type="page"/>
      </w:r>
      <w:bookmarkStart w:id="52" w:name="_Toc15396614"/>
      <w:r>
        <w:rPr>
          <w:rFonts w:hint="eastAsia" w:ascii="宋体" w:hAnsi="宋体" w:eastAsia="黑体"/>
          <w:sz w:val="44"/>
          <w:szCs w:val="44"/>
        </w:rPr>
        <w:t>第四部分 附件</w:t>
      </w:r>
      <w:bookmarkEnd w:id="52"/>
    </w:p>
    <w:tbl>
      <w:tblPr>
        <w:tblStyle w:val="13"/>
        <w:tblW w:w="8360" w:type="dxa"/>
        <w:tblInd w:w="0" w:type="dxa"/>
        <w:tblLayout w:type="fixed"/>
        <w:tblCellMar>
          <w:top w:w="0" w:type="dxa"/>
          <w:left w:w="15" w:type="dxa"/>
          <w:bottom w:w="0" w:type="dxa"/>
          <w:right w:w="15" w:type="dxa"/>
        </w:tblCellMar>
      </w:tblPr>
      <w:tblGrid>
        <w:gridCol w:w="759"/>
        <w:gridCol w:w="760"/>
        <w:gridCol w:w="760"/>
        <w:gridCol w:w="760"/>
        <w:gridCol w:w="761"/>
        <w:gridCol w:w="760"/>
        <w:gridCol w:w="760"/>
        <w:gridCol w:w="760"/>
        <w:gridCol w:w="760"/>
        <w:gridCol w:w="760"/>
        <w:gridCol w:w="760"/>
      </w:tblGrid>
      <w:tr>
        <w:tblPrEx>
          <w:tblCellMar>
            <w:top w:w="0" w:type="dxa"/>
            <w:left w:w="15" w:type="dxa"/>
            <w:bottom w:w="0" w:type="dxa"/>
            <w:right w:w="15" w:type="dxa"/>
          </w:tblCellMar>
        </w:tblPrEx>
        <w:trPr>
          <w:trHeight w:val="432" w:hRule="atLeast"/>
        </w:trPr>
        <w:tc>
          <w:tcPr>
            <w:tcW w:w="8360"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b/>
                <w:color w:val="000000"/>
                <w:sz w:val="18"/>
                <w:szCs w:val="15"/>
              </w:rPr>
            </w:pPr>
            <w:bookmarkStart w:id="53" w:name="_Toc15396618"/>
            <w:r>
              <w:rPr>
                <w:rFonts w:ascii="宋体" w:hAnsi="宋体" w:eastAsia="仿宋_GB2312"/>
                <w:b/>
                <w:color w:val="000000"/>
                <w:sz w:val="18"/>
                <w:szCs w:val="15"/>
              </w:rPr>
              <w:t>部门预算项目支出绩效自评表（2022年度）</w:t>
            </w:r>
          </w:p>
        </w:tc>
      </w:tr>
      <w:tr>
        <w:tblPrEx>
          <w:tblCellMar>
            <w:top w:w="0" w:type="dxa"/>
            <w:left w:w="15" w:type="dxa"/>
            <w:bottom w:w="0" w:type="dxa"/>
            <w:right w:w="15" w:type="dxa"/>
          </w:tblCellMar>
        </w:tblPrEx>
        <w:trPr>
          <w:trHeight w:val="348" w:hRule="atLeast"/>
        </w:trPr>
        <w:tc>
          <w:tcPr>
            <w:tcW w:w="151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项目名称</w:t>
            </w:r>
          </w:p>
        </w:tc>
        <w:tc>
          <w:tcPr>
            <w:tcW w:w="6841" w:type="dxa"/>
            <w:gridSpan w:val="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51000021T000000016815-信息化建设及运行维护经费</w:t>
            </w:r>
          </w:p>
        </w:tc>
      </w:tr>
      <w:tr>
        <w:tblPrEx>
          <w:tblCellMar>
            <w:top w:w="0" w:type="dxa"/>
            <w:left w:w="15" w:type="dxa"/>
            <w:bottom w:w="0" w:type="dxa"/>
            <w:right w:w="15" w:type="dxa"/>
          </w:tblCellMar>
        </w:tblPrEx>
        <w:trPr>
          <w:trHeight w:val="497" w:hRule="atLeast"/>
        </w:trPr>
        <w:tc>
          <w:tcPr>
            <w:tcW w:w="151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主管部门</w:t>
            </w:r>
          </w:p>
        </w:tc>
        <w:tc>
          <w:tcPr>
            <w:tcW w:w="380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四川省监狱管理局部门</w:t>
            </w:r>
          </w:p>
        </w:tc>
        <w:tc>
          <w:tcPr>
            <w:tcW w:w="760" w:type="dxa"/>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实施单位 （盖章）</w:t>
            </w:r>
          </w:p>
        </w:tc>
        <w:tc>
          <w:tcPr>
            <w:tcW w:w="228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四川省荞窝监狱</w:t>
            </w:r>
          </w:p>
        </w:tc>
      </w:tr>
      <w:tr>
        <w:tblPrEx>
          <w:tblCellMar>
            <w:top w:w="0" w:type="dxa"/>
            <w:left w:w="15" w:type="dxa"/>
            <w:bottom w:w="0" w:type="dxa"/>
            <w:right w:w="15" w:type="dxa"/>
          </w:tblCellMar>
        </w:tblPrEx>
        <w:trPr>
          <w:trHeight w:val="348"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项目基本情况</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1.项目年度目标完成情况</w:t>
            </w:r>
          </w:p>
        </w:tc>
        <w:tc>
          <w:tcPr>
            <w:tcW w:w="380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项目年度目标</w:t>
            </w:r>
          </w:p>
        </w:tc>
        <w:tc>
          <w:tcPr>
            <w:tcW w:w="304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年度目标完成情况</w:t>
            </w:r>
          </w:p>
        </w:tc>
      </w:tr>
      <w:tr>
        <w:tblPrEx>
          <w:tblCellMar>
            <w:top w:w="0" w:type="dxa"/>
            <w:left w:w="15" w:type="dxa"/>
            <w:bottom w:w="0" w:type="dxa"/>
            <w:right w:w="15" w:type="dxa"/>
          </w:tblCellMar>
        </w:tblPrEx>
        <w:trPr>
          <w:trHeight w:val="685"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15"/>
                <w:szCs w:val="15"/>
              </w:rPr>
            </w:pPr>
          </w:p>
        </w:tc>
        <w:tc>
          <w:tcPr>
            <w:tcW w:w="380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解决已建成投入使用的各项信息化系统运行维护问题，保障各项信息化系统稳定、高效运行，确保各项信息化业务的正常开展。</w:t>
            </w:r>
          </w:p>
        </w:tc>
        <w:tc>
          <w:tcPr>
            <w:tcW w:w="304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项目投入使用以来，监狱各信息系统得到有效维护，目前各系统运行稳定、高效，各信息化业务正常开展业务，达到项目预期目标。</w:t>
            </w:r>
          </w:p>
        </w:tc>
      </w:tr>
      <w:tr>
        <w:tblPrEx>
          <w:tblCellMar>
            <w:top w:w="0" w:type="dxa"/>
            <w:left w:w="15" w:type="dxa"/>
            <w:bottom w:w="0" w:type="dxa"/>
            <w:right w:w="15" w:type="dxa"/>
          </w:tblCellMar>
        </w:tblPrEx>
        <w:trPr>
          <w:trHeight w:val="7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2.项目实施内容及过程概述</w:t>
            </w:r>
          </w:p>
        </w:tc>
        <w:tc>
          <w:tcPr>
            <w:tcW w:w="6841" w:type="dxa"/>
            <w:gridSpan w:val="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1、提出运维项目需求。2、招标设计单位信息化运维项目设计。3、凉山片区三个监狱信息化运维公开招标采购。4、项目合同签订。5、运维人员入场提供服务、材料采购。6、运维人员考核和管理。</w:t>
            </w:r>
          </w:p>
        </w:tc>
      </w:tr>
      <w:tr>
        <w:tblPrEx>
          <w:tblCellMar>
            <w:top w:w="0" w:type="dxa"/>
            <w:left w:w="15" w:type="dxa"/>
            <w:bottom w:w="0" w:type="dxa"/>
            <w:right w:w="15" w:type="dxa"/>
          </w:tblCellMar>
        </w:tblPrEx>
        <w:trPr>
          <w:trHeight w:val="497"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预算执行情况（10分）</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年度预算数（万元）</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年初预算</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调整后预算数</w:t>
            </w: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预算执行数</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预算执行率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权重</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得分</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原因</w:t>
            </w:r>
          </w:p>
        </w:tc>
      </w:tr>
      <w:tr>
        <w:tblPrEx>
          <w:tblCellMar>
            <w:top w:w="0" w:type="dxa"/>
            <w:left w:w="15" w:type="dxa"/>
            <w:bottom w:w="0" w:type="dxa"/>
            <w:right w:w="15" w:type="dxa"/>
          </w:tblCellMar>
        </w:tblPrEx>
        <w:trPr>
          <w:trHeight w:val="348"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总额</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186.04</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186.04</w:t>
            </w: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181.02</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97.30%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i/>
                <w:color w:val="000000"/>
                <w:sz w:val="8"/>
                <w:szCs w:val="15"/>
              </w:rPr>
            </w:pPr>
          </w:p>
        </w:tc>
      </w:tr>
      <w:tr>
        <w:tblPrEx>
          <w:tblCellMar>
            <w:top w:w="0" w:type="dxa"/>
            <w:left w:w="15" w:type="dxa"/>
            <w:bottom w:w="0" w:type="dxa"/>
            <w:right w:w="15" w:type="dxa"/>
          </w:tblCellMar>
        </w:tblPrEx>
        <w:trPr>
          <w:trHeight w:val="497"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其中：财政资金</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186.04</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186.04</w:t>
            </w: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181.02</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97.30%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15"/>
                <w:szCs w:val="15"/>
              </w:rPr>
            </w:pPr>
          </w:p>
        </w:tc>
      </w:tr>
      <w:tr>
        <w:tblPrEx>
          <w:tblCellMar>
            <w:top w:w="0" w:type="dxa"/>
            <w:left w:w="15" w:type="dxa"/>
            <w:bottom w:w="0" w:type="dxa"/>
            <w:right w:w="15" w:type="dxa"/>
          </w:tblCellMar>
        </w:tblPrEx>
        <w:trPr>
          <w:trHeight w:val="497"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财政专户管理资金</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15"/>
                <w:szCs w:val="15"/>
              </w:rPr>
            </w:pPr>
          </w:p>
        </w:tc>
      </w:tr>
      <w:tr>
        <w:tblPrEx>
          <w:tblCellMar>
            <w:top w:w="0" w:type="dxa"/>
            <w:left w:w="15" w:type="dxa"/>
            <w:bottom w:w="0" w:type="dxa"/>
            <w:right w:w="15" w:type="dxa"/>
          </w:tblCellMar>
        </w:tblPrEx>
        <w:trPr>
          <w:trHeight w:val="348"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单位资金</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0.00%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15"/>
                <w:szCs w:val="15"/>
              </w:rPr>
            </w:pPr>
          </w:p>
        </w:tc>
      </w:tr>
      <w:tr>
        <w:tblPrEx>
          <w:tblCellMar>
            <w:top w:w="0" w:type="dxa"/>
            <w:left w:w="15" w:type="dxa"/>
            <w:bottom w:w="0" w:type="dxa"/>
            <w:right w:w="15" w:type="dxa"/>
          </w:tblCellMar>
        </w:tblPrEx>
        <w:trPr>
          <w:trHeight w:val="348"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其他资金</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6"/>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6"/>
                <w:szCs w:val="15"/>
              </w:rPr>
            </w:pP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6"/>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6"/>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15"/>
                <w:szCs w:val="15"/>
              </w:rPr>
            </w:pPr>
          </w:p>
        </w:tc>
      </w:tr>
      <w:tr>
        <w:tblPrEx>
          <w:tblCellMar>
            <w:top w:w="0" w:type="dxa"/>
            <w:left w:w="15" w:type="dxa"/>
            <w:bottom w:w="0" w:type="dxa"/>
            <w:right w:w="15" w:type="dxa"/>
          </w:tblCellMar>
        </w:tblPrEx>
        <w:trPr>
          <w:trHeight w:val="497"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绩效指标（90分）</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一级指标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二级指标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三级指标</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指标性质</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指标值</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度量单位</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完成值</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权重</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得分</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未完成原因分析</w:t>
            </w: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产出指标</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数量指标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信息化系统维护个数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个（台、套、件、辆）</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20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20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系统日均维护数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2</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次</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15"/>
                <w:szCs w:val="15"/>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质量指标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机房日常维护合格率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信息化系统无故障率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时效指标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项目完成时限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年</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3个月</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效益指标</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社会效益指标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提升工作及管理效率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95</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95%</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999"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15"/>
                <w:szCs w:val="15"/>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保障监狱信息化系统和设备正常运行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513"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15"/>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满意度指标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服务对象满意度指标</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 xml:space="preserve">使用民警满意度  </w:t>
            </w:r>
          </w:p>
        </w:tc>
        <w:tc>
          <w:tcPr>
            <w:tcW w:w="7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95</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95%</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348" w:hRule="atLeast"/>
        </w:trPr>
        <w:tc>
          <w:tcPr>
            <w:tcW w:w="608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合计</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100</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p>
        </w:tc>
      </w:tr>
      <w:tr>
        <w:tblPrEx>
          <w:tblCellMar>
            <w:top w:w="0" w:type="dxa"/>
            <w:left w:w="15" w:type="dxa"/>
            <w:bottom w:w="0" w:type="dxa"/>
            <w:right w:w="15" w:type="dxa"/>
          </w:tblCellMar>
        </w:tblPrEx>
        <w:trPr>
          <w:trHeight w:val="348"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评价结论</w:t>
            </w:r>
          </w:p>
        </w:tc>
        <w:tc>
          <w:tcPr>
            <w:tcW w:w="7601"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项目绩效自评得分100分，项目合同属于跨年合同，合同截至2023年6月到期，目前基本完成维修维护目标。</w:t>
            </w:r>
          </w:p>
        </w:tc>
      </w:tr>
      <w:tr>
        <w:tblPrEx>
          <w:tblCellMar>
            <w:top w:w="0" w:type="dxa"/>
            <w:left w:w="15" w:type="dxa"/>
            <w:bottom w:w="0" w:type="dxa"/>
            <w:right w:w="15" w:type="dxa"/>
          </w:tblCellMar>
        </w:tblPrEx>
        <w:trPr>
          <w:trHeight w:val="348"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存在问题</w:t>
            </w:r>
          </w:p>
        </w:tc>
        <w:tc>
          <w:tcPr>
            <w:tcW w:w="7601"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1、部分信息化设备过保后维护难度较大。2、部分信息化维护材料未列在采购清单内容，影响维修维护。</w:t>
            </w:r>
          </w:p>
        </w:tc>
      </w:tr>
      <w:tr>
        <w:tblPrEx>
          <w:tblCellMar>
            <w:top w:w="0" w:type="dxa"/>
            <w:left w:w="15" w:type="dxa"/>
            <w:bottom w:w="0" w:type="dxa"/>
            <w:right w:w="15" w:type="dxa"/>
          </w:tblCellMar>
        </w:tblPrEx>
        <w:trPr>
          <w:trHeight w:val="348"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5"/>
              </w:rPr>
            </w:pPr>
            <w:r>
              <w:rPr>
                <w:rFonts w:ascii="宋体" w:hAnsi="宋体" w:eastAsia="仿宋_GB2312"/>
                <w:color w:val="000000"/>
                <w:sz w:val="8"/>
                <w:szCs w:val="15"/>
              </w:rPr>
              <w:t>改进措施</w:t>
            </w:r>
          </w:p>
        </w:tc>
        <w:tc>
          <w:tcPr>
            <w:tcW w:w="7601"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针对项目自评中发现的问题，下一步改进采购材料清单内容，增加部分非政府采购内容扩大设备采购范围。</w:t>
            </w:r>
          </w:p>
        </w:tc>
      </w:tr>
      <w:tr>
        <w:tblPrEx>
          <w:tblCellMar>
            <w:top w:w="0" w:type="dxa"/>
            <w:left w:w="15" w:type="dxa"/>
            <w:bottom w:w="0" w:type="dxa"/>
            <w:right w:w="15" w:type="dxa"/>
          </w:tblCellMar>
        </w:tblPrEx>
        <w:trPr>
          <w:trHeight w:val="358" w:hRule="atLeast"/>
        </w:trPr>
        <w:tc>
          <w:tcPr>
            <w:tcW w:w="3800"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项目负责人：吴靖</w:t>
            </w:r>
          </w:p>
        </w:tc>
        <w:tc>
          <w:tcPr>
            <w:tcW w:w="4560"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5"/>
              </w:rPr>
            </w:pPr>
            <w:r>
              <w:rPr>
                <w:rFonts w:ascii="宋体" w:hAnsi="宋体" w:eastAsia="仿宋_GB2312"/>
                <w:color w:val="000000"/>
                <w:sz w:val="8"/>
                <w:szCs w:val="15"/>
              </w:rPr>
              <w:t>财务负责人：廖翔</w:t>
            </w:r>
          </w:p>
        </w:tc>
      </w:tr>
    </w:tbl>
    <w:p>
      <w:pPr>
        <w:pStyle w:val="5"/>
        <w:spacing w:before="93"/>
        <w:rPr>
          <w:rFonts w:ascii="宋体" w:hAnsi="宋体" w:cs="仿宋"/>
          <w:sz w:val="32"/>
          <w:szCs w:val="32"/>
        </w:rPr>
      </w:pPr>
    </w:p>
    <w:tbl>
      <w:tblPr>
        <w:tblStyle w:val="13"/>
        <w:tblW w:w="8600" w:type="dxa"/>
        <w:tblInd w:w="0" w:type="dxa"/>
        <w:tblLayout w:type="fixed"/>
        <w:tblCellMar>
          <w:top w:w="0" w:type="dxa"/>
          <w:left w:w="15" w:type="dxa"/>
          <w:bottom w:w="0" w:type="dxa"/>
          <w:right w:w="15" w:type="dxa"/>
        </w:tblCellMar>
      </w:tblPr>
      <w:tblGrid>
        <w:gridCol w:w="782"/>
        <w:gridCol w:w="782"/>
        <w:gridCol w:w="782"/>
        <w:gridCol w:w="782"/>
        <w:gridCol w:w="782"/>
        <w:gridCol w:w="782"/>
        <w:gridCol w:w="781"/>
        <w:gridCol w:w="782"/>
        <w:gridCol w:w="782"/>
        <w:gridCol w:w="782"/>
        <w:gridCol w:w="781"/>
      </w:tblGrid>
      <w:tr>
        <w:tblPrEx>
          <w:tblCellMar>
            <w:top w:w="0" w:type="dxa"/>
            <w:left w:w="15" w:type="dxa"/>
            <w:bottom w:w="0" w:type="dxa"/>
            <w:right w:w="15" w:type="dxa"/>
          </w:tblCellMar>
        </w:tblPrEx>
        <w:trPr>
          <w:trHeight w:val="349" w:hRule="atLeast"/>
        </w:trPr>
        <w:tc>
          <w:tcPr>
            <w:tcW w:w="8600"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b/>
                <w:color w:val="000000"/>
                <w:sz w:val="8"/>
                <w:szCs w:val="10"/>
              </w:rPr>
            </w:pPr>
            <w:r>
              <w:rPr>
                <w:rFonts w:ascii="宋体" w:hAnsi="宋体" w:eastAsia="仿宋_GB2312"/>
                <w:b/>
                <w:color w:val="000000"/>
                <w:sz w:val="8"/>
                <w:szCs w:val="10"/>
              </w:rPr>
              <w:t>部门预算项目支出绩效自评表（2022年度）</w:t>
            </w:r>
          </w:p>
        </w:tc>
      </w:tr>
      <w:tr>
        <w:tblPrEx>
          <w:tblCellMar>
            <w:top w:w="0" w:type="dxa"/>
            <w:left w:w="15" w:type="dxa"/>
            <w:bottom w:w="0" w:type="dxa"/>
            <w:right w:w="15" w:type="dxa"/>
          </w:tblCellMar>
        </w:tblPrEx>
        <w:trPr>
          <w:trHeight w:val="305" w:hRule="atLeast"/>
        </w:trPr>
        <w:tc>
          <w:tcPr>
            <w:tcW w:w="156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项目名称</w:t>
            </w:r>
          </w:p>
        </w:tc>
        <w:tc>
          <w:tcPr>
            <w:tcW w:w="7036" w:type="dxa"/>
            <w:gridSpan w:val="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51000021T000000018846-上年结转-离休干部医药费</w:t>
            </w:r>
          </w:p>
        </w:tc>
      </w:tr>
      <w:tr>
        <w:tblPrEx>
          <w:tblCellMar>
            <w:top w:w="0" w:type="dxa"/>
            <w:left w:w="15" w:type="dxa"/>
            <w:bottom w:w="0" w:type="dxa"/>
            <w:right w:w="15" w:type="dxa"/>
          </w:tblCellMar>
        </w:tblPrEx>
        <w:trPr>
          <w:trHeight w:val="305" w:hRule="atLeast"/>
        </w:trPr>
        <w:tc>
          <w:tcPr>
            <w:tcW w:w="156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主管部门</w:t>
            </w:r>
          </w:p>
        </w:tc>
        <w:tc>
          <w:tcPr>
            <w:tcW w:w="3909"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四川省监狱管理局部门</w:t>
            </w:r>
          </w:p>
        </w:tc>
        <w:tc>
          <w:tcPr>
            <w:tcW w:w="782" w:type="dxa"/>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实施单位</w:t>
            </w: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四川省荞窝监狱</w:t>
            </w:r>
          </w:p>
        </w:tc>
      </w:tr>
      <w:tr>
        <w:tblPrEx>
          <w:tblCellMar>
            <w:top w:w="0" w:type="dxa"/>
            <w:left w:w="15" w:type="dxa"/>
            <w:bottom w:w="0" w:type="dxa"/>
            <w:right w:w="15" w:type="dxa"/>
          </w:tblCellMar>
        </w:tblPrEx>
        <w:trPr>
          <w:trHeight w:val="305" w:hRule="atLeast"/>
        </w:trPr>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项目基本情况</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1.项目年度目标完成情况</w:t>
            </w:r>
          </w:p>
        </w:tc>
        <w:tc>
          <w:tcPr>
            <w:tcW w:w="3909"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项目年度目标</w:t>
            </w:r>
          </w:p>
        </w:tc>
        <w:tc>
          <w:tcPr>
            <w:tcW w:w="3127"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年度目标完成情况</w:t>
            </w:r>
          </w:p>
        </w:tc>
      </w:tr>
      <w:tr>
        <w:tblPrEx>
          <w:tblCellMar>
            <w:top w:w="0" w:type="dxa"/>
            <w:left w:w="15" w:type="dxa"/>
            <w:bottom w:w="0" w:type="dxa"/>
            <w:right w:w="15" w:type="dxa"/>
          </w:tblCellMar>
        </w:tblPrEx>
        <w:trPr>
          <w:trHeight w:val="305"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8"/>
                <w:szCs w:val="10"/>
              </w:rPr>
            </w:pPr>
          </w:p>
        </w:tc>
        <w:tc>
          <w:tcPr>
            <w:tcW w:w="3909"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每年根据离休干警人数拨付离休干警住院医疗费</w:t>
            </w:r>
          </w:p>
        </w:tc>
        <w:tc>
          <w:tcPr>
            <w:tcW w:w="3127"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每月均按时核报了离退休干部医药费</w:t>
            </w:r>
          </w:p>
        </w:tc>
      </w:tr>
      <w:tr>
        <w:tblPrEx>
          <w:tblCellMar>
            <w:top w:w="0" w:type="dxa"/>
            <w:left w:w="15" w:type="dxa"/>
            <w:bottom w:w="0" w:type="dxa"/>
            <w:right w:w="15" w:type="dxa"/>
          </w:tblCellMar>
        </w:tblPrEx>
        <w:trPr>
          <w:trHeight w:val="5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2.项目实施内容及过程概述</w:t>
            </w:r>
          </w:p>
        </w:tc>
        <w:tc>
          <w:tcPr>
            <w:tcW w:w="7036" w:type="dxa"/>
            <w:gridSpan w:val="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我狱全年共计7名离休干部，监狱指定了专门部门对离休干部医药费进行报销，在报销过程中由监狱离退休人员管理科指定专人负责收集整理，报监狱财务科、医院、分管领导等进行审核，并报局生活卫生处、省卫生健康委员会审核，统一发放至离退休干部卡上，做到依据政策核报，专款专用。</w:t>
            </w:r>
          </w:p>
        </w:tc>
      </w:tr>
      <w:tr>
        <w:tblPrEx>
          <w:tblCellMar>
            <w:top w:w="0" w:type="dxa"/>
            <w:left w:w="15" w:type="dxa"/>
            <w:bottom w:w="0" w:type="dxa"/>
            <w:right w:w="15" w:type="dxa"/>
          </w:tblCellMar>
        </w:tblPrEx>
        <w:trPr>
          <w:trHeight w:val="399" w:hRule="atLeast"/>
        </w:trPr>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预算执行情况（10分）</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年度预算数（万元）</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年初预算</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调整后预算数</w:t>
            </w: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预算执行数</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预算执行率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权重</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得分</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原因</w:t>
            </w:r>
          </w:p>
        </w:tc>
      </w:tr>
      <w:tr>
        <w:tblPrEx>
          <w:tblCellMar>
            <w:top w:w="0" w:type="dxa"/>
            <w:left w:w="15" w:type="dxa"/>
            <w:bottom w:w="0" w:type="dxa"/>
            <w:right w:w="15" w:type="dxa"/>
          </w:tblCellMar>
        </w:tblPrEx>
        <w:trPr>
          <w:trHeight w:val="305"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总额</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83.30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83.30</w:t>
            </w: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44.76</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53.74%</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5.4</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离休干部年龄增大，人员逐年减少离休干部医疗费属于据实报销，故该经费结转到2023年继续保障离休干部门诊及住院期间的医疗费</w:t>
            </w:r>
          </w:p>
        </w:tc>
      </w:tr>
      <w:tr>
        <w:tblPrEx>
          <w:tblCellMar>
            <w:top w:w="0" w:type="dxa"/>
            <w:left w:w="15" w:type="dxa"/>
            <w:bottom w:w="0" w:type="dxa"/>
            <w:right w:w="15" w:type="dxa"/>
          </w:tblCellMar>
        </w:tblPrEx>
        <w:trPr>
          <w:trHeight w:val="3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其中：财政资金</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8"/>
                <w:szCs w:val="10"/>
              </w:rPr>
            </w:pPr>
          </w:p>
        </w:tc>
      </w:tr>
      <w:tr>
        <w:tblPrEx>
          <w:tblCellMar>
            <w:top w:w="0" w:type="dxa"/>
            <w:left w:w="15" w:type="dxa"/>
            <w:bottom w:w="0" w:type="dxa"/>
            <w:right w:w="15" w:type="dxa"/>
          </w:tblCellMar>
        </w:tblPrEx>
        <w:trPr>
          <w:trHeight w:val="3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财政专户管理资金</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0.00%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8"/>
                <w:szCs w:val="10"/>
              </w:rPr>
            </w:pPr>
          </w:p>
        </w:tc>
      </w:tr>
      <w:tr>
        <w:tblPrEx>
          <w:tblCellMar>
            <w:top w:w="0" w:type="dxa"/>
            <w:left w:w="15" w:type="dxa"/>
            <w:bottom w:w="0" w:type="dxa"/>
            <w:right w:w="15" w:type="dxa"/>
          </w:tblCellMar>
        </w:tblPrEx>
        <w:trPr>
          <w:trHeight w:val="305"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单位资金</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83.30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83.30</w:t>
            </w: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44.76</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53.74%</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8"/>
                <w:szCs w:val="10"/>
              </w:rPr>
            </w:pPr>
          </w:p>
        </w:tc>
      </w:tr>
      <w:tr>
        <w:tblPrEx>
          <w:tblCellMar>
            <w:top w:w="0" w:type="dxa"/>
            <w:left w:w="15" w:type="dxa"/>
            <w:bottom w:w="0" w:type="dxa"/>
            <w:right w:w="15" w:type="dxa"/>
          </w:tblCellMar>
        </w:tblPrEx>
        <w:trPr>
          <w:trHeight w:val="1658"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其他资金</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c>
          <w:tcPr>
            <w:tcW w:w="234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8"/>
                <w:szCs w:val="10"/>
              </w:rPr>
            </w:pPr>
          </w:p>
        </w:tc>
      </w:tr>
      <w:tr>
        <w:tblPrEx>
          <w:tblCellMar>
            <w:top w:w="0" w:type="dxa"/>
            <w:left w:w="15" w:type="dxa"/>
            <w:bottom w:w="0" w:type="dxa"/>
            <w:right w:w="15" w:type="dxa"/>
          </w:tblCellMar>
        </w:tblPrEx>
        <w:trPr>
          <w:trHeight w:val="399" w:hRule="atLeast"/>
        </w:trPr>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绩效指标（90分）</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一级指标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二级指标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三级指标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指标性质</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指标值</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度量单位</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完成值</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权重</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得分</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未完成原因分析</w:t>
            </w:r>
          </w:p>
        </w:tc>
      </w:tr>
      <w:tr>
        <w:tblPrEx>
          <w:tblCellMar>
            <w:top w:w="0" w:type="dxa"/>
            <w:left w:w="15" w:type="dxa"/>
            <w:bottom w:w="0" w:type="dxa"/>
            <w:right w:w="15" w:type="dxa"/>
          </w:tblCellMar>
        </w:tblPrEx>
        <w:trPr>
          <w:trHeight w:val="5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产出指标</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数量指标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离休干部医疗保障覆盖率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20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20</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r>
      <w:tr>
        <w:tblPrEx>
          <w:tblCellMar>
            <w:top w:w="0" w:type="dxa"/>
            <w:left w:w="15" w:type="dxa"/>
            <w:bottom w:w="0" w:type="dxa"/>
            <w:right w:w="15" w:type="dxa"/>
          </w:tblCellMar>
        </w:tblPrEx>
        <w:trPr>
          <w:trHeight w:val="3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8"/>
                <w:szCs w:val="10"/>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诊疗人数（人次）</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7</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人</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7</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20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20</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r>
      <w:tr>
        <w:tblPrEx>
          <w:tblCellMar>
            <w:top w:w="0" w:type="dxa"/>
            <w:left w:w="15" w:type="dxa"/>
            <w:bottom w:w="0" w:type="dxa"/>
            <w:right w:w="15" w:type="dxa"/>
          </w:tblCellMar>
        </w:tblPrEx>
        <w:trPr>
          <w:trHeight w:val="3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时效指标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项目完成时限</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年</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20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20</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r>
      <w:tr>
        <w:tblPrEx>
          <w:tblCellMar>
            <w:top w:w="0" w:type="dxa"/>
            <w:left w:w="15" w:type="dxa"/>
            <w:bottom w:w="0" w:type="dxa"/>
            <w:right w:w="15" w:type="dxa"/>
          </w:tblCellMar>
        </w:tblPrEx>
        <w:trPr>
          <w:trHeight w:val="5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效益指标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社会效益指标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提高离休干部就医方便程度</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r>
      <w:tr>
        <w:tblPrEx>
          <w:tblCellMar>
            <w:top w:w="0" w:type="dxa"/>
            <w:left w:w="15" w:type="dxa"/>
            <w:bottom w:w="0" w:type="dxa"/>
            <w:right w:w="15" w:type="dxa"/>
          </w:tblCellMar>
        </w:tblPrEx>
        <w:trPr>
          <w:trHeight w:val="3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可持续发展指标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项目持续保障时间</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年</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r>
      <w:tr>
        <w:tblPrEx>
          <w:tblCellMar>
            <w:top w:w="0" w:type="dxa"/>
            <w:left w:w="15" w:type="dxa"/>
            <w:bottom w:w="0" w:type="dxa"/>
            <w:right w:w="15" w:type="dxa"/>
          </w:tblCellMar>
        </w:tblPrEx>
        <w:trPr>
          <w:trHeight w:val="599" w:hRule="atLeast"/>
        </w:trPr>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仿宋_GB2312"/>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满意度指标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服务对象</w:t>
            </w:r>
            <w:r>
              <w:rPr>
                <w:rFonts w:ascii="宋体" w:hAnsi="宋体" w:eastAsia="仿宋_GB2312"/>
                <w:color w:val="000000"/>
                <w:sz w:val="8"/>
                <w:szCs w:val="10"/>
              </w:rPr>
              <w:br w:type="textWrapping"/>
            </w:r>
            <w:r>
              <w:rPr>
                <w:rFonts w:ascii="宋体" w:hAnsi="宋体" w:eastAsia="仿宋_GB2312"/>
                <w:color w:val="000000"/>
                <w:sz w:val="8"/>
                <w:szCs w:val="10"/>
              </w:rPr>
              <w:t>满意度指标</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离休干警满意度</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98</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10</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i/>
                <w:color w:val="000000"/>
                <w:sz w:val="8"/>
                <w:szCs w:val="10"/>
              </w:rPr>
            </w:pPr>
          </w:p>
        </w:tc>
      </w:tr>
      <w:tr>
        <w:tblPrEx>
          <w:tblCellMar>
            <w:top w:w="0" w:type="dxa"/>
            <w:left w:w="15" w:type="dxa"/>
            <w:bottom w:w="0" w:type="dxa"/>
            <w:right w:w="15" w:type="dxa"/>
          </w:tblCellMar>
        </w:tblPrEx>
        <w:trPr>
          <w:trHeight w:val="305" w:hRule="atLeast"/>
        </w:trPr>
        <w:tc>
          <w:tcPr>
            <w:tcW w:w="6255"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合计</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95.4</w:t>
            </w:r>
          </w:p>
        </w:tc>
        <w:tc>
          <w:tcPr>
            <w:tcW w:w="78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p>
        </w:tc>
      </w:tr>
      <w:tr>
        <w:tblPrEx>
          <w:tblCellMar>
            <w:top w:w="0" w:type="dxa"/>
            <w:left w:w="15" w:type="dxa"/>
            <w:bottom w:w="0" w:type="dxa"/>
            <w:right w:w="15" w:type="dxa"/>
          </w:tblCellMar>
        </w:tblPrEx>
        <w:trPr>
          <w:trHeight w:val="599"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评价</w:t>
            </w:r>
            <w:r>
              <w:rPr>
                <w:rFonts w:ascii="宋体" w:hAnsi="宋体" w:eastAsia="仿宋_GB2312"/>
                <w:color w:val="000000"/>
                <w:sz w:val="8"/>
                <w:szCs w:val="10"/>
              </w:rPr>
              <w:br w:type="textWrapping"/>
            </w:r>
            <w:r>
              <w:rPr>
                <w:rFonts w:ascii="宋体" w:hAnsi="宋体" w:eastAsia="仿宋_GB2312"/>
                <w:color w:val="000000"/>
                <w:sz w:val="8"/>
                <w:szCs w:val="10"/>
              </w:rPr>
              <w:t>结论</w:t>
            </w:r>
          </w:p>
        </w:tc>
        <w:tc>
          <w:tcPr>
            <w:tcW w:w="7818"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2022年离休干部实际发生的医药费与年初预算存在一定差距，预算执行情况得分较低，仅得分5.4分，绩效指标均达到指标值，得分90分，全年等分共计95.4分。离休干部对医药费的报销十分满意，未出现不满情形或医闹事件。</w:t>
            </w:r>
          </w:p>
        </w:tc>
      </w:tr>
      <w:tr>
        <w:tblPrEx>
          <w:tblCellMar>
            <w:top w:w="0" w:type="dxa"/>
            <w:left w:w="15" w:type="dxa"/>
            <w:bottom w:w="0" w:type="dxa"/>
            <w:right w:w="15" w:type="dxa"/>
          </w:tblCellMar>
        </w:tblPrEx>
        <w:trPr>
          <w:trHeight w:val="599"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存在</w:t>
            </w:r>
            <w:r>
              <w:rPr>
                <w:rFonts w:ascii="宋体" w:hAnsi="宋体" w:eastAsia="仿宋_GB2312"/>
                <w:color w:val="000000"/>
                <w:sz w:val="8"/>
                <w:szCs w:val="10"/>
              </w:rPr>
              <w:br w:type="textWrapping"/>
            </w:r>
            <w:r>
              <w:rPr>
                <w:rFonts w:ascii="宋体" w:hAnsi="宋体" w:eastAsia="仿宋_GB2312"/>
                <w:color w:val="000000"/>
                <w:sz w:val="8"/>
                <w:szCs w:val="10"/>
              </w:rPr>
              <w:t>问题</w:t>
            </w:r>
          </w:p>
        </w:tc>
        <w:tc>
          <w:tcPr>
            <w:tcW w:w="7818"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离休干部实际发生的医药费与年初预算存在一定差距，预算执行情况得分较低</w:t>
            </w:r>
          </w:p>
        </w:tc>
      </w:tr>
      <w:tr>
        <w:tblPrEx>
          <w:tblCellMar>
            <w:top w:w="0" w:type="dxa"/>
            <w:left w:w="15" w:type="dxa"/>
            <w:bottom w:w="0" w:type="dxa"/>
            <w:right w:w="15" w:type="dxa"/>
          </w:tblCellMar>
        </w:tblPrEx>
        <w:trPr>
          <w:trHeight w:val="599" w:hRule="atLeast"/>
        </w:trPr>
        <w:tc>
          <w:tcPr>
            <w:tcW w:w="7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仿宋_GB2312"/>
                <w:color w:val="000000"/>
                <w:sz w:val="8"/>
                <w:szCs w:val="10"/>
              </w:rPr>
            </w:pPr>
            <w:r>
              <w:rPr>
                <w:rFonts w:ascii="宋体" w:hAnsi="宋体" w:eastAsia="仿宋_GB2312"/>
                <w:color w:val="000000"/>
                <w:sz w:val="8"/>
                <w:szCs w:val="10"/>
              </w:rPr>
              <w:t>改进</w:t>
            </w:r>
            <w:r>
              <w:rPr>
                <w:rFonts w:ascii="宋体" w:hAnsi="宋体" w:eastAsia="仿宋_GB2312"/>
                <w:color w:val="000000"/>
                <w:sz w:val="8"/>
                <w:szCs w:val="10"/>
              </w:rPr>
              <w:br w:type="textWrapping"/>
            </w:r>
            <w:r>
              <w:rPr>
                <w:rFonts w:ascii="宋体" w:hAnsi="宋体" w:eastAsia="仿宋_GB2312"/>
                <w:color w:val="000000"/>
                <w:sz w:val="8"/>
                <w:szCs w:val="10"/>
              </w:rPr>
              <w:t>措施</w:t>
            </w:r>
          </w:p>
        </w:tc>
        <w:tc>
          <w:tcPr>
            <w:tcW w:w="7818"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该经费结转到2023年继续保障离休干部门诊及住院期间的医疗费</w:t>
            </w:r>
          </w:p>
        </w:tc>
      </w:tr>
      <w:tr>
        <w:tblPrEx>
          <w:tblCellMar>
            <w:top w:w="0" w:type="dxa"/>
            <w:left w:w="15" w:type="dxa"/>
            <w:bottom w:w="0" w:type="dxa"/>
            <w:right w:w="15" w:type="dxa"/>
          </w:tblCellMar>
        </w:tblPrEx>
        <w:trPr>
          <w:trHeight w:val="314" w:hRule="atLeast"/>
        </w:trPr>
        <w:tc>
          <w:tcPr>
            <w:tcW w:w="3910"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项目负责人：张启祥</w:t>
            </w:r>
          </w:p>
        </w:tc>
        <w:tc>
          <w:tcPr>
            <w:tcW w:w="4690"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仿宋_GB2312"/>
                <w:color w:val="000000"/>
                <w:sz w:val="8"/>
                <w:szCs w:val="10"/>
              </w:rPr>
            </w:pPr>
            <w:r>
              <w:rPr>
                <w:rFonts w:ascii="宋体" w:hAnsi="宋体" w:eastAsia="仿宋_GB2312"/>
                <w:color w:val="000000"/>
                <w:sz w:val="8"/>
                <w:szCs w:val="10"/>
              </w:rPr>
              <w:t>财务负责人：廖翔</w:t>
            </w:r>
          </w:p>
        </w:tc>
      </w:tr>
    </w:tbl>
    <w:p>
      <w:pPr>
        <w:spacing w:line="600" w:lineRule="exact"/>
        <w:outlineLvl w:val="0"/>
        <w:rPr>
          <w:rStyle w:val="27"/>
          <w:rFonts w:ascii="宋体" w:hAnsi="宋体" w:eastAsia="仿宋_GB2312"/>
          <w:b w:val="0"/>
          <w:sz w:val="32"/>
          <w:szCs w:val="36"/>
        </w:rPr>
      </w:pPr>
      <w:r>
        <w:rPr>
          <w:rFonts w:hint="eastAsia" w:ascii="宋体" w:hAnsi="宋体" w:eastAsia="仿宋_GB2312" w:cs="仿宋"/>
          <w:kern w:val="0"/>
          <w:sz w:val="22"/>
        </w:rPr>
        <w:t>注：2022年本单位所有部门预算项目均按要求完成了预算绩效自评。部分项目因内容涉密（敏感），不予主动公开。</w:t>
      </w:r>
    </w:p>
    <w:bookmarkEnd w:id="51"/>
    <w:bookmarkEnd w:id="53"/>
    <w:p>
      <w:pPr>
        <w:spacing w:line="600" w:lineRule="exact"/>
        <w:jc w:val="center"/>
        <w:outlineLvl w:val="0"/>
        <w:rPr>
          <w:rFonts w:ascii="宋体" w:hAnsi="宋体" w:eastAsia="黑体"/>
          <w:sz w:val="44"/>
          <w:szCs w:val="44"/>
        </w:rPr>
      </w:pPr>
      <w:r>
        <w:rPr>
          <w:rFonts w:hint="eastAsia" w:ascii="宋体" w:hAnsi="宋体" w:eastAsia="黑体"/>
          <w:sz w:val="44"/>
          <w:szCs w:val="44"/>
        </w:rPr>
        <w:t>第五部分 附表</w:t>
      </w:r>
      <w:bookmarkStart w:id="54" w:name="_Toc15396619"/>
    </w:p>
    <w:p>
      <w:pPr>
        <w:pStyle w:val="3"/>
        <w:rPr>
          <w:rFonts w:ascii="宋体" w:hAnsi="宋体" w:eastAsia="仿宋_GB2312"/>
        </w:rPr>
      </w:pPr>
      <w:r>
        <w:rPr>
          <w:rFonts w:hint="eastAsia" w:ascii="宋体" w:hAnsi="宋体" w:eastAsia="仿宋_GB2312"/>
          <w:b w:val="0"/>
        </w:rPr>
        <w:t>一、收</w:t>
      </w:r>
      <w:r>
        <w:rPr>
          <w:rStyle w:val="28"/>
          <w:rFonts w:hint="eastAsia" w:ascii="宋体" w:hAnsi="宋体" w:eastAsia="仿宋_GB2312"/>
          <w:b w:val="0"/>
          <w:bCs w:val="0"/>
        </w:rPr>
        <w:t>入支出决算总表</w:t>
      </w:r>
      <w:bookmarkEnd w:id="54"/>
    </w:p>
    <w:p>
      <w:pPr>
        <w:pStyle w:val="3"/>
        <w:rPr>
          <w:rFonts w:ascii="宋体" w:hAnsi="宋体" w:eastAsia="仿宋_GB2312"/>
        </w:rPr>
      </w:pPr>
      <w:bookmarkStart w:id="55" w:name="_Toc15396620"/>
      <w:r>
        <w:rPr>
          <w:rFonts w:hint="eastAsia" w:ascii="宋体" w:hAnsi="宋体" w:eastAsia="仿宋_GB2312"/>
          <w:b w:val="0"/>
        </w:rPr>
        <w:t>二、收</w:t>
      </w:r>
      <w:r>
        <w:rPr>
          <w:rStyle w:val="28"/>
          <w:rFonts w:hint="eastAsia" w:ascii="宋体" w:hAnsi="宋体" w:eastAsia="仿宋_GB2312"/>
          <w:b w:val="0"/>
          <w:bCs w:val="0"/>
        </w:rPr>
        <w:t>入决算表</w:t>
      </w:r>
      <w:bookmarkEnd w:id="55"/>
    </w:p>
    <w:p>
      <w:pPr>
        <w:pStyle w:val="3"/>
        <w:rPr>
          <w:rFonts w:ascii="宋体" w:hAnsi="宋体" w:eastAsia="仿宋_GB2312"/>
        </w:rPr>
      </w:pPr>
      <w:bookmarkStart w:id="56" w:name="_Toc15396621"/>
      <w:r>
        <w:rPr>
          <w:rStyle w:val="28"/>
          <w:rFonts w:hint="eastAsia" w:ascii="宋体" w:hAnsi="宋体" w:eastAsia="仿宋_GB2312"/>
          <w:b w:val="0"/>
          <w:bCs w:val="0"/>
        </w:rPr>
        <w:t>三、</w:t>
      </w:r>
      <w:r>
        <w:rPr>
          <w:rFonts w:hint="eastAsia" w:ascii="宋体" w:hAnsi="宋体" w:eastAsia="仿宋_GB2312"/>
          <w:b w:val="0"/>
        </w:rPr>
        <w:t>支</w:t>
      </w:r>
      <w:r>
        <w:rPr>
          <w:rStyle w:val="28"/>
          <w:rFonts w:hint="eastAsia" w:ascii="宋体" w:hAnsi="宋体" w:eastAsia="仿宋_GB2312"/>
          <w:b w:val="0"/>
          <w:bCs w:val="0"/>
        </w:rPr>
        <w:t>出决算表</w:t>
      </w:r>
      <w:bookmarkEnd w:id="56"/>
    </w:p>
    <w:p>
      <w:pPr>
        <w:pStyle w:val="3"/>
        <w:rPr>
          <w:rFonts w:ascii="宋体" w:hAnsi="宋体" w:eastAsia="仿宋_GB2312"/>
          <w:b w:val="0"/>
        </w:rPr>
      </w:pPr>
      <w:bookmarkStart w:id="57" w:name="_Toc15396622"/>
      <w:r>
        <w:rPr>
          <w:rStyle w:val="28"/>
          <w:rFonts w:hint="eastAsia" w:ascii="宋体" w:hAnsi="宋体" w:eastAsia="仿宋_GB2312"/>
          <w:b w:val="0"/>
          <w:bCs w:val="0"/>
        </w:rPr>
        <w:t>四、</w:t>
      </w:r>
      <w:r>
        <w:rPr>
          <w:rFonts w:hint="eastAsia" w:ascii="宋体" w:hAnsi="宋体" w:eastAsia="仿宋_GB2312"/>
          <w:b w:val="0"/>
        </w:rPr>
        <w:t>财</w:t>
      </w:r>
      <w:r>
        <w:rPr>
          <w:rStyle w:val="28"/>
          <w:rFonts w:hint="eastAsia" w:ascii="宋体" w:hAnsi="宋体" w:eastAsia="仿宋_GB2312"/>
          <w:b w:val="0"/>
          <w:bCs w:val="0"/>
        </w:rPr>
        <w:t>政拨款收入支出决算总表</w:t>
      </w:r>
      <w:bookmarkEnd w:id="57"/>
    </w:p>
    <w:p>
      <w:pPr>
        <w:pStyle w:val="3"/>
        <w:rPr>
          <w:rStyle w:val="28"/>
          <w:rFonts w:ascii="宋体" w:hAnsi="宋体" w:eastAsia="仿宋_GB2312"/>
          <w:b w:val="0"/>
          <w:bCs w:val="0"/>
        </w:rPr>
      </w:pPr>
      <w:bookmarkStart w:id="58" w:name="_Toc15396623"/>
      <w:r>
        <w:rPr>
          <w:rStyle w:val="28"/>
          <w:rFonts w:hint="eastAsia" w:ascii="宋体" w:hAnsi="宋体" w:eastAsia="仿宋_GB2312"/>
          <w:b w:val="0"/>
          <w:bCs w:val="0"/>
        </w:rPr>
        <w:t>五、</w:t>
      </w:r>
      <w:r>
        <w:rPr>
          <w:rFonts w:hint="eastAsia" w:ascii="宋体" w:hAnsi="宋体" w:eastAsia="仿宋_GB2312"/>
          <w:b w:val="0"/>
        </w:rPr>
        <w:t>财</w:t>
      </w:r>
      <w:r>
        <w:rPr>
          <w:rStyle w:val="28"/>
          <w:rFonts w:hint="eastAsia" w:ascii="宋体" w:hAnsi="宋体" w:eastAsia="仿宋_GB2312"/>
          <w:b w:val="0"/>
          <w:bCs w:val="0"/>
        </w:rPr>
        <w:t>政拨款支出决算明细表</w:t>
      </w:r>
      <w:bookmarkEnd w:id="58"/>
      <w:bookmarkStart w:id="59" w:name="_Toc15396624"/>
    </w:p>
    <w:p>
      <w:pPr>
        <w:pStyle w:val="3"/>
        <w:rPr>
          <w:rFonts w:ascii="宋体" w:hAnsi="宋体" w:eastAsia="仿宋_GB2312"/>
        </w:rPr>
      </w:pPr>
      <w:r>
        <w:rPr>
          <w:rStyle w:val="28"/>
          <w:rFonts w:hint="eastAsia" w:ascii="宋体" w:hAnsi="宋体" w:eastAsia="仿宋_GB2312"/>
          <w:b w:val="0"/>
          <w:bCs w:val="0"/>
        </w:rPr>
        <w:t>六、</w:t>
      </w:r>
      <w:r>
        <w:rPr>
          <w:rFonts w:hint="eastAsia" w:ascii="宋体" w:hAnsi="宋体" w:eastAsia="仿宋_GB2312"/>
          <w:b w:val="0"/>
        </w:rPr>
        <w:t>一</w:t>
      </w:r>
      <w:r>
        <w:rPr>
          <w:rStyle w:val="28"/>
          <w:rFonts w:hint="eastAsia" w:ascii="宋体" w:hAnsi="宋体" w:eastAsia="仿宋_GB2312"/>
          <w:b w:val="0"/>
          <w:bCs w:val="0"/>
        </w:rPr>
        <w:t>般公共预算财政拨款支出决算表</w:t>
      </w:r>
      <w:bookmarkEnd w:id="59"/>
    </w:p>
    <w:p>
      <w:pPr>
        <w:pStyle w:val="3"/>
        <w:rPr>
          <w:rFonts w:ascii="宋体" w:hAnsi="宋体" w:eastAsia="仿宋_GB2312"/>
        </w:rPr>
      </w:pPr>
      <w:bookmarkStart w:id="60" w:name="_Toc15396625"/>
      <w:r>
        <w:rPr>
          <w:rStyle w:val="28"/>
          <w:rFonts w:hint="eastAsia" w:ascii="宋体" w:hAnsi="宋体" w:eastAsia="仿宋_GB2312"/>
          <w:b w:val="0"/>
          <w:bCs w:val="0"/>
        </w:rPr>
        <w:t>七、</w:t>
      </w:r>
      <w:r>
        <w:rPr>
          <w:rFonts w:hint="eastAsia" w:ascii="宋体" w:hAnsi="宋体" w:eastAsia="仿宋_GB2312"/>
          <w:b w:val="0"/>
        </w:rPr>
        <w:t>一</w:t>
      </w:r>
      <w:r>
        <w:rPr>
          <w:rStyle w:val="28"/>
          <w:rFonts w:hint="eastAsia" w:ascii="宋体" w:hAnsi="宋体" w:eastAsia="仿宋_GB2312"/>
          <w:b w:val="0"/>
          <w:bCs w:val="0"/>
        </w:rPr>
        <w:t>般公共预算财政拨款支出决算明细表</w:t>
      </w:r>
      <w:bookmarkEnd w:id="60"/>
    </w:p>
    <w:p>
      <w:pPr>
        <w:pStyle w:val="3"/>
        <w:rPr>
          <w:rFonts w:ascii="宋体" w:hAnsi="宋体" w:eastAsia="仿宋_GB2312"/>
        </w:rPr>
      </w:pPr>
      <w:bookmarkStart w:id="61" w:name="_Toc15396626"/>
      <w:r>
        <w:rPr>
          <w:rStyle w:val="28"/>
          <w:rFonts w:hint="eastAsia" w:ascii="宋体" w:hAnsi="宋体" w:eastAsia="仿宋_GB2312"/>
          <w:b w:val="0"/>
          <w:bCs w:val="0"/>
        </w:rPr>
        <w:t>八、</w:t>
      </w:r>
      <w:r>
        <w:rPr>
          <w:rFonts w:hint="eastAsia" w:ascii="宋体" w:hAnsi="宋体" w:eastAsia="仿宋_GB2312"/>
          <w:b w:val="0"/>
        </w:rPr>
        <w:t>一</w:t>
      </w:r>
      <w:r>
        <w:rPr>
          <w:rStyle w:val="28"/>
          <w:rFonts w:hint="eastAsia" w:ascii="宋体" w:hAnsi="宋体" w:eastAsia="仿宋_GB2312"/>
          <w:b w:val="0"/>
          <w:bCs w:val="0"/>
        </w:rPr>
        <w:t>般公共预算财政拨款基本支出决算表</w:t>
      </w:r>
      <w:bookmarkEnd w:id="61"/>
    </w:p>
    <w:p>
      <w:pPr>
        <w:pStyle w:val="3"/>
        <w:rPr>
          <w:rFonts w:ascii="宋体" w:hAnsi="宋体" w:eastAsia="仿宋_GB2312"/>
        </w:rPr>
      </w:pPr>
      <w:bookmarkStart w:id="62" w:name="_Toc15396627"/>
      <w:r>
        <w:rPr>
          <w:rStyle w:val="28"/>
          <w:rFonts w:hint="eastAsia" w:ascii="宋体" w:hAnsi="宋体" w:eastAsia="仿宋_GB2312"/>
          <w:b w:val="0"/>
          <w:bCs w:val="0"/>
        </w:rPr>
        <w:t>九、</w:t>
      </w:r>
      <w:r>
        <w:rPr>
          <w:rFonts w:hint="eastAsia" w:ascii="宋体" w:hAnsi="宋体" w:eastAsia="仿宋_GB2312"/>
          <w:b w:val="0"/>
        </w:rPr>
        <w:t>一</w:t>
      </w:r>
      <w:r>
        <w:rPr>
          <w:rStyle w:val="28"/>
          <w:rFonts w:hint="eastAsia" w:ascii="宋体" w:hAnsi="宋体" w:eastAsia="仿宋_GB2312"/>
          <w:b w:val="0"/>
          <w:bCs w:val="0"/>
        </w:rPr>
        <w:t>般公共预算财政拨款项目支出决算表</w:t>
      </w:r>
      <w:bookmarkEnd w:id="62"/>
    </w:p>
    <w:p>
      <w:pPr>
        <w:pStyle w:val="3"/>
        <w:rPr>
          <w:rFonts w:ascii="宋体" w:hAnsi="宋体" w:eastAsia="仿宋_GB2312"/>
        </w:rPr>
      </w:pPr>
      <w:bookmarkStart w:id="63" w:name="_Toc15396628"/>
      <w:r>
        <w:rPr>
          <w:rStyle w:val="28"/>
          <w:rFonts w:hint="eastAsia" w:ascii="宋体" w:hAnsi="宋体" w:eastAsia="仿宋_GB2312"/>
          <w:b w:val="0"/>
          <w:bCs w:val="0"/>
        </w:rPr>
        <w:t>十、</w:t>
      </w:r>
      <w:bookmarkEnd w:id="63"/>
      <w:r>
        <w:rPr>
          <w:rFonts w:hint="eastAsia" w:ascii="宋体" w:hAnsi="宋体" w:eastAsia="仿宋_GB2312"/>
          <w:b w:val="0"/>
        </w:rPr>
        <w:t>政</w:t>
      </w:r>
      <w:r>
        <w:rPr>
          <w:rStyle w:val="28"/>
          <w:rFonts w:hint="eastAsia" w:ascii="宋体" w:hAnsi="宋体" w:eastAsia="仿宋_GB2312"/>
          <w:b w:val="0"/>
          <w:bCs w:val="0"/>
        </w:rPr>
        <w:t>府性基金预算财政拨款收入支出决算表</w:t>
      </w:r>
    </w:p>
    <w:p>
      <w:pPr>
        <w:pStyle w:val="3"/>
        <w:rPr>
          <w:rFonts w:ascii="宋体" w:hAnsi="宋体" w:eastAsia="仿宋_GB2312"/>
        </w:rPr>
      </w:pPr>
      <w:bookmarkStart w:id="64" w:name="_Toc15396629"/>
      <w:r>
        <w:rPr>
          <w:rStyle w:val="28"/>
          <w:rFonts w:hint="eastAsia" w:ascii="宋体" w:hAnsi="宋体" w:eastAsia="仿宋_GB2312"/>
          <w:b w:val="0"/>
          <w:bCs w:val="0"/>
        </w:rPr>
        <w:t>十一、</w:t>
      </w:r>
      <w:bookmarkEnd w:id="64"/>
      <w:r>
        <w:rPr>
          <w:rFonts w:hint="eastAsia" w:ascii="宋体" w:hAnsi="宋体" w:eastAsia="仿宋_GB2312"/>
          <w:b w:val="0"/>
        </w:rPr>
        <w:t>国</w:t>
      </w:r>
      <w:r>
        <w:rPr>
          <w:rStyle w:val="28"/>
          <w:rFonts w:hint="eastAsia" w:ascii="宋体" w:hAnsi="宋体" w:eastAsia="仿宋_GB2312"/>
          <w:b w:val="0"/>
          <w:bCs w:val="0"/>
        </w:rPr>
        <w:t>有资本经营预算财政拨款收入支出决算表</w:t>
      </w:r>
    </w:p>
    <w:p>
      <w:pPr>
        <w:pStyle w:val="3"/>
        <w:rPr>
          <w:rFonts w:ascii="宋体" w:hAnsi="宋体" w:eastAsia="仿宋_GB2312"/>
        </w:rPr>
      </w:pPr>
      <w:bookmarkStart w:id="65" w:name="_Toc15396630"/>
      <w:r>
        <w:rPr>
          <w:rStyle w:val="28"/>
          <w:rFonts w:hint="eastAsia" w:ascii="宋体" w:hAnsi="宋体" w:eastAsia="仿宋_GB2312"/>
          <w:b w:val="0"/>
          <w:bCs w:val="0"/>
        </w:rPr>
        <w:t>十二、</w:t>
      </w:r>
      <w:bookmarkEnd w:id="65"/>
      <w:r>
        <w:rPr>
          <w:rStyle w:val="28"/>
          <w:rFonts w:hint="eastAsia" w:ascii="宋体" w:hAnsi="宋体" w:eastAsia="仿宋_GB2312"/>
          <w:b w:val="0"/>
          <w:bCs w:val="0"/>
        </w:rPr>
        <w:t>国有资本经营预算财政拨款支出决算表</w:t>
      </w:r>
    </w:p>
    <w:p>
      <w:pPr>
        <w:pStyle w:val="3"/>
        <w:rPr>
          <w:rFonts w:ascii="宋体" w:hAnsi="宋体" w:eastAsia="仿宋_GB2312"/>
        </w:rPr>
      </w:pPr>
      <w:bookmarkStart w:id="66" w:name="_Toc15396631"/>
      <w:r>
        <w:rPr>
          <w:rStyle w:val="28"/>
          <w:rFonts w:hint="eastAsia" w:ascii="宋体" w:hAnsi="宋体" w:eastAsia="仿宋_GB2312"/>
          <w:b w:val="0"/>
          <w:bCs w:val="0"/>
        </w:rPr>
        <w:t>十三、</w:t>
      </w:r>
      <w:bookmarkEnd w:id="66"/>
      <w:r>
        <w:rPr>
          <w:rStyle w:val="28"/>
          <w:rFonts w:hint="eastAsia" w:ascii="宋体" w:hAnsi="宋体" w:eastAsia="仿宋_GB2312"/>
          <w:b w:val="0"/>
          <w:bCs w:val="0"/>
        </w:rPr>
        <w:t>财政拨款“三公”经费支出决算表</w:t>
      </w:r>
    </w:p>
    <w:p>
      <w:pPr>
        <w:rPr>
          <w:rFonts w:ascii="宋体" w:hAnsi="宋体" w:eastAsia="仿宋_GB2312"/>
        </w:rPr>
      </w:pPr>
    </w:p>
    <w:sectPr>
      <w:footerReference r:id="rId5" w:type="first"/>
      <w:headerReference r:id="rId3" w:type="default"/>
      <w:footerReference r:id="rId4" w:type="default"/>
      <w:pgSz w:w="11850" w:h="16783"/>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16</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Quad Arrow 2"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64F54710"/>
    <w:multiLevelType w:val="singleLevel"/>
    <w:tmpl w:val="64F54710"/>
    <w:lvl w:ilvl="0" w:tentative="0">
      <w:start w:val="1"/>
      <w:numFmt w:val="chineseCounting"/>
      <w:suff w:val="nothing"/>
      <w:lvlText w:val="%1、"/>
      <w:lvlJc w:val="left"/>
    </w:lvl>
  </w:abstractNum>
  <w:abstractNum w:abstractNumId="3">
    <w:nsid w:val="64F55696"/>
    <w:multiLevelType w:val="singleLevel"/>
    <w:tmpl w:val="64F55696"/>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M2Mzg3YWY0YzllZmQxZDRkNDNhMzE2M2ZiMzRlZmUifQ=="/>
  </w:docVars>
  <w:rsids>
    <w:rsidRoot w:val="0062660E"/>
    <w:rsid w:val="00554319"/>
    <w:rsid w:val="00580611"/>
    <w:rsid w:val="00626189"/>
    <w:rsid w:val="0062660E"/>
    <w:rsid w:val="0064404B"/>
    <w:rsid w:val="007E0058"/>
    <w:rsid w:val="008E525F"/>
    <w:rsid w:val="00B45BB3"/>
    <w:rsid w:val="00C90EB0"/>
    <w:rsid w:val="00D34D3A"/>
    <w:rsid w:val="00D8182D"/>
    <w:rsid w:val="00F43827"/>
    <w:rsid w:val="018A7168"/>
    <w:rsid w:val="028147B3"/>
    <w:rsid w:val="047F7859"/>
    <w:rsid w:val="053A5C0B"/>
    <w:rsid w:val="0F9A72AF"/>
    <w:rsid w:val="10A14BC6"/>
    <w:rsid w:val="12E85061"/>
    <w:rsid w:val="1BA51D61"/>
    <w:rsid w:val="1C062F57"/>
    <w:rsid w:val="1FC729C2"/>
    <w:rsid w:val="20C2310E"/>
    <w:rsid w:val="225A55A7"/>
    <w:rsid w:val="24A54E55"/>
    <w:rsid w:val="30771BF1"/>
    <w:rsid w:val="30F70633"/>
    <w:rsid w:val="352A22DA"/>
    <w:rsid w:val="3845380B"/>
    <w:rsid w:val="3B6B7626"/>
    <w:rsid w:val="3CE70987"/>
    <w:rsid w:val="3E175996"/>
    <w:rsid w:val="43832E14"/>
    <w:rsid w:val="43F4692D"/>
    <w:rsid w:val="46892343"/>
    <w:rsid w:val="47153728"/>
    <w:rsid w:val="48127706"/>
    <w:rsid w:val="49934A6E"/>
    <w:rsid w:val="4A570341"/>
    <w:rsid w:val="4BA947D7"/>
    <w:rsid w:val="50B43C6E"/>
    <w:rsid w:val="5F211CD9"/>
    <w:rsid w:val="6499186D"/>
    <w:rsid w:val="65C50AFA"/>
    <w:rsid w:val="6D704692"/>
    <w:rsid w:val="737569FB"/>
    <w:rsid w:val="7A3D224D"/>
    <w:rsid w:val="7A4B5D52"/>
    <w:rsid w:val="7A565847"/>
    <w:rsid w:val="7C1E1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100" w:beforeAutospacing="1" w:after="100" w:afterAutospacing="1"/>
      <w:jc w:val="left"/>
    </w:pPr>
    <w:rPr>
      <w:kern w:val="0"/>
      <w:sz w:val="24"/>
    </w:rPr>
  </w:style>
  <w:style w:type="character" w:styleId="15">
    <w:name w:val="Strong"/>
    <w:qFormat/>
    <w:uiPriority w:val="99"/>
    <w:rPr>
      <w:b/>
    </w:rPr>
  </w:style>
  <w:style w:type="character" w:styleId="16">
    <w:name w:val="Hyperlink"/>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表段落1"/>
    <w:basedOn w:val="1"/>
    <w:qFormat/>
    <w:uiPriority w:val="34"/>
    <w:pPr>
      <w:ind w:firstLine="420" w:firstLineChars="200"/>
    </w:p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0">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character" w:customStyle="1" w:styleId="21">
    <w:name w:val="Header Char"/>
    <w:semiHidden/>
    <w:qFormat/>
    <w:uiPriority w:val="99"/>
    <w:rPr>
      <w:rFonts w:ascii="Times New Roman" w:hAnsi="Times New Roman"/>
      <w:sz w:val="18"/>
      <w:szCs w:val="18"/>
    </w:rPr>
  </w:style>
  <w:style w:type="character" w:customStyle="1" w:styleId="22">
    <w:name w:val="页眉 Char"/>
    <w:link w:val="9"/>
    <w:semiHidden/>
    <w:qFormat/>
    <w:locked/>
    <w:uiPriority w:val="99"/>
    <w:rPr>
      <w:sz w:val="18"/>
    </w:rPr>
  </w:style>
  <w:style w:type="character" w:customStyle="1" w:styleId="23">
    <w:name w:val="Footer Char"/>
    <w:semiHidden/>
    <w:qFormat/>
    <w:uiPriority w:val="99"/>
    <w:rPr>
      <w:rFonts w:ascii="Times New Roman" w:hAnsi="Times New Roman"/>
      <w:sz w:val="18"/>
      <w:szCs w:val="18"/>
    </w:rPr>
  </w:style>
  <w:style w:type="character" w:customStyle="1" w:styleId="24">
    <w:name w:val="页脚 Char"/>
    <w:link w:val="8"/>
    <w:qFormat/>
    <w:locked/>
    <w:uiPriority w:val="99"/>
    <w:rPr>
      <w:sz w:val="18"/>
    </w:rPr>
  </w:style>
  <w:style w:type="character" w:customStyle="1" w:styleId="25">
    <w:name w:val="Body Text Char"/>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character" w:customStyle="1" w:styleId="27">
    <w:name w:val="标题 1 Char"/>
    <w:link w:val="2"/>
    <w:qFormat/>
    <w:uiPriority w:val="9"/>
    <w:rPr>
      <w:rFonts w:ascii="Times New Roman" w:hAnsi="Times New Roman"/>
      <w:b/>
      <w:bCs/>
      <w:kern w:val="44"/>
      <w:sz w:val="44"/>
      <w:szCs w:val="44"/>
    </w:rPr>
  </w:style>
  <w:style w:type="character" w:customStyle="1" w:styleId="28">
    <w:name w:val="标题 2 Char"/>
    <w:link w:val="3"/>
    <w:qFormat/>
    <w:uiPriority w:val="9"/>
    <w:rPr>
      <w:rFonts w:ascii="Cambria" w:hAnsi="Cambria" w:eastAsia="宋体" w:cs="黑体"/>
      <w:b/>
      <w:bCs/>
      <w:kern w:val="2"/>
      <w:sz w:val="32"/>
      <w:szCs w:val="32"/>
    </w:rPr>
  </w:style>
  <w:style w:type="character" w:customStyle="1" w:styleId="29">
    <w:name w:val="批注框文本 Char"/>
    <w:link w:val="7"/>
    <w:semiHidden/>
    <w:qFormat/>
    <w:uiPriority w:val="99"/>
    <w:rPr>
      <w:rFonts w:ascii="Times New Roman" w:hAnsi="Times New Roman"/>
      <w:kern w:val="2"/>
      <w:sz w:val="18"/>
      <w:szCs w:val="18"/>
    </w:rPr>
  </w:style>
  <w:style w:type="character" w:customStyle="1" w:styleId="30">
    <w:name w:val="标题 3 Char"/>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1196</Words>
  <Characters>6820</Characters>
  <Lines>56</Lines>
  <Paragraphs>15</Paragraphs>
  <TotalTime>71</TotalTime>
  <ScaleCrop>false</ScaleCrop>
  <LinksUpToDate>false</LinksUpToDate>
  <CharactersWithSpaces>8001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沙晶龙</cp:lastModifiedBy>
  <cp:lastPrinted>2023-07-31T02:35:00Z</cp:lastPrinted>
  <dcterms:modified xsi:type="dcterms:W3CDTF">2023-09-05T03:34:59Z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74470C3010B84147913424EC536BD1AB_12</vt:lpwstr>
  </property>
</Properties>
</file>