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袁木平，男，</w:t>
      </w:r>
      <w:r>
        <w:rPr>
          <w:rFonts w:hint="eastAsia" w:ascii="仿宋" w:hAnsi="仿宋" w:eastAsia="仿宋" w:cs="Times New Roman"/>
          <w:sz w:val="32"/>
          <w:szCs w:val="32"/>
        </w:rPr>
        <w:t>1982年07月01日出生，小学文化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袁木平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袁木平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BC1"/>
    <w:rsid w:val="00615E38"/>
    <w:rsid w:val="009E1BC1"/>
    <w:rsid w:val="FF974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138</Words>
  <Characters>790</Characters>
  <Lines>6</Lines>
  <Paragraphs>1</Paragraphs>
  <TotalTime>1</TotalTime>
  <ScaleCrop>false</ScaleCrop>
  <LinksUpToDate>false</LinksUpToDate>
  <CharactersWithSpaces>927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2025-09-25T09:46:23Z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88BE7E3C2BBA529CEF9ED468D1CA4E92</vt:lpwstr>
  </property>
</Properties>
</file>