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李康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1994年2月23日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李康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并有立功</w:t>
      </w:r>
      <w:r>
        <w:rPr>
          <w:rFonts w:hint="eastAsia" w:ascii="仿宋" w:hAnsi="仿宋" w:eastAsia="仿宋"/>
          <w:color w:val="auto"/>
          <w:sz w:val="32"/>
          <w:szCs w:val="32"/>
        </w:rPr>
        <w:t>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</w:rPr>
        <w:t>，建议对罪犯</w:t>
      </w:r>
      <w:r>
        <w:rPr>
          <w:rFonts w:ascii="仿宋" w:hAnsi="仿宋" w:eastAsia="仿宋"/>
          <w:color w:val="auto"/>
          <w:sz w:val="32"/>
          <w:szCs w:val="32"/>
        </w:rPr>
        <w:t>李康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五</w:t>
      </w:r>
      <w:r>
        <w:rPr>
          <w:rFonts w:ascii="仿宋" w:hAnsi="仿宋" w:eastAsia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李康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460" w:lineRule="exact"/>
        <w:rPr>
          <w:rFonts w:ascii="宋体" w:hAnsi="宋体"/>
          <w:color w:val="auto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A944235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5A83F6F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2026-02-02T07:38:51Z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