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罪犯刘永洪，男，</w:t>
      </w:r>
      <w:r>
        <w:rPr>
          <w:rFonts w:ascii="仿宋" w:hAnsi="仿宋" w:eastAsia="仿宋"/>
          <w:color w:val="auto"/>
          <w:sz w:val="32"/>
          <w:szCs w:val="32"/>
        </w:rPr>
        <w:t xml:space="preserve"> 1976年1月1日</w:t>
      </w:r>
      <w:r>
        <w:rPr>
          <w:rFonts w:hint="eastAsia" w:ascii="仿宋" w:hAnsi="仿宋" w:eastAsia="仿宋"/>
          <w:color w:val="auto"/>
          <w:sz w:val="32"/>
          <w:szCs w:val="32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刘永洪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三十一条、《中华人民共和国刑法》第五十条、《中华人民共和国刑事诉讼法》第二百六十一条第二款的规定，建议对罪犯刘永洪减刑减为有期徒刑二十五年，剥夺政治权利十年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" w:hAnsi="仿宋" w:eastAsia="仿宋"/>
          <w:color w:val="auto"/>
          <w:sz w:val="32"/>
          <w:szCs w:val="32"/>
        </w:rPr>
        <w:t>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20B3F39"/>
    <w:rsid w:val="34794B11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94A6D9D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2025-07-28T02:12:23Z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