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罪犯翟万鹏,男，</w:t>
      </w:r>
      <w:r>
        <w:rPr>
          <w:rFonts w:ascii="仿宋" w:hAnsi="仿宋" w:eastAsia="仿宋"/>
          <w:sz w:val="32"/>
          <w:szCs w:val="32"/>
        </w:rPr>
        <w:t>1988年5月25日</w:t>
      </w:r>
      <w:r>
        <w:rPr>
          <w:rFonts w:hint="eastAsia" w:ascii="仿宋" w:hAnsi="仿宋" w:eastAsia="仿宋"/>
          <w:sz w:val="32"/>
          <w:szCs w:val="32"/>
        </w:rPr>
        <w:t>出生,大学文化。现在四川省眉州监狱服刑。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翟万鹏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为此，根据《中华人民共和国监狱法》第二十九条、《中华人民共和国刑法》第七十八条、《中华人民共和国刑事诉讼法》第二百七十三条第二款之规定，建议对罪犯翟万鹏减刑八个月。特报请裁定。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440" w:firstLineChars="17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AFA2B4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E883CE7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2025-12-04T01:09:11Z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