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618</w:t>
      </w:r>
      <w:r>
        <w:rPr>
          <w:rFonts w:hint="eastAsia" w:ascii="仿宋" w:hAnsi="仿宋" w:eastAsia="仿宋"/>
          <w:sz w:val="32"/>
          <w:szCs w:val="32"/>
          <w:lang w:eastAsia="zh-CN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罪犯黄永高,男，</w:t>
      </w:r>
      <w:r>
        <w:rPr>
          <w:rFonts w:ascii="仿宋" w:hAnsi="仿宋" w:eastAsia="仿宋"/>
          <w:sz w:val="32"/>
          <w:szCs w:val="32"/>
        </w:rPr>
        <w:t>1978年3月3日</w:t>
      </w:r>
      <w:r>
        <w:rPr>
          <w:rFonts w:hint="eastAsia" w:ascii="仿宋" w:hAnsi="仿宋" w:eastAsia="仿宋"/>
          <w:sz w:val="32"/>
          <w:szCs w:val="32"/>
        </w:rPr>
        <w:t>出生,文盲。现在四川省眉州监狱服刑。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罪犯黄永高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为此，根据《中华人民共和国监狱法》第二十九条、《中华人民共和国刑法》第七十八条、《中华人民共和国刑事诉讼法》第二百七十三条第二款之规定，建议对罪犯黄永高减刑八个月。特报请裁定。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8D3966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985E45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