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罪犯王灯操,男，</w:t>
      </w:r>
      <w:r>
        <w:rPr>
          <w:rFonts w:ascii="仿宋" w:hAnsi="仿宋" w:eastAsia="仿宋"/>
          <w:sz w:val="32"/>
          <w:szCs w:val="32"/>
        </w:rPr>
        <w:t>1966年11月3日</w:t>
      </w:r>
      <w:r>
        <w:rPr>
          <w:rFonts w:hint="eastAsia" w:ascii="仿宋" w:hAnsi="仿宋" w:eastAsia="仿宋"/>
          <w:sz w:val="32"/>
          <w:szCs w:val="32"/>
        </w:rPr>
        <w:t>出生,小学文化。现在四川省眉州监狱服刑。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罪犯王灯操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为此，根据《中华人民共和国监狱法》第二十九条、《中华人民共和国刑法》第七十八条、《中华人民共和国刑事诉讼法》第二百七十三条第二款之规定，建议对罪犯王灯操减刑七个月。特报请裁定。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6EB7073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5E33A4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2025-09-30T08:47:11Z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