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罪犯王晖,男，</w:t>
      </w:r>
      <w:r>
        <w:rPr>
          <w:rFonts w:ascii="仿宋" w:hAnsi="仿宋" w:eastAsia="仿宋"/>
          <w:sz w:val="32"/>
          <w:szCs w:val="32"/>
        </w:rPr>
        <w:t>1967年11月6日</w:t>
      </w:r>
      <w:r>
        <w:rPr>
          <w:rFonts w:hint="eastAsia" w:ascii="仿宋" w:hAnsi="仿宋" w:eastAsia="仿宋"/>
          <w:sz w:val="32"/>
          <w:szCs w:val="32"/>
        </w:rPr>
        <w:t>出生,高中文化。现在四川省眉州监狱服刑。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罪犯王晖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为此，根据《中华人民共和国监狱法》第二十九条、《中华人民共和国刑法》第七十八条、《中华人民共和国刑事诉讼法》第二百七十三条第二款之规定，建议对罪犯王晖减刑六个月。特报请裁定。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1A00FAE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3511F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2025-09-30T08:47:44Z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