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530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罪犯杨威毅，男，1989年2月21日出生，汉族，高中文化，户籍所在地:四川省汉源县富林镇团结路2号1栋3单元4号，现在四川省眉州监狱六监区服刑。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2013年12月25日因犯聚众斗殴罪被雅安市中级人民法院判处有期徒刑一年十个月，缓刑二年。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参加黑社会性质组织罪、寻衅滋事罪、聚众斗殴罪、开设赌场罪，经四川省雅安市中级人民法院于2020年12月18日以(2020)川18刑初30号刑事附带民事判决书判处有期徒刑十五年，并处罚金人民币六万元，共同赔偿受害方共计1.628781万元。因同案犯不服，提起上诉。经四川省高级人民法院于2021年2月19日以(2021)川刑终90号刑事裁定书裁定：驳回上诉，维持原判。刑期自2019年12月27日至2034年12月26日止。于2021年5月11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81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履行，有四川省雅安市中级人民法院出具的结案通知书，载明罚金和赔偿已执行完毕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杨威毅在服刑期间，能认罪悔罪，遵守法律法规及监规，接受教育改造，积极参加思想、文化、职业技术教育，积极参加劳动，努力完成劳动任务，确有悔改表现，该犯系涉黑罪犯,依法应当从严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为此，根据《中华人民共和国监狱法》第二十九条、《中华人民共和国刑法》第七十八条、《中华人民共和国刑事诉讼法》第二百七十三条第二款的规定，建议对罪犯杨威毅减刑五个月。特报请裁定。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附：罪犯杨威毅卷宗材料一卷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040DD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2024-10-10T06:55:22Z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