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533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罪犯周华君，男，1982年11月5日出生，汉族，初中文化，户籍所在地:四川省乐山市五通桥区，现在四川省眉州监狱六监区服刑。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贩卖毒品罪、容留他人吸毒罪，经四川省眉山市青神县人民法院于2021年5月31日以(2021)川1425刑初16号刑事判决书判处有期徒刑十五年，并处罚金人民币三千元，没收财产人民币四万元。因该犯及同案犯不服，提起上诉。经四川省眉山市中级人民法院于2021年9月28日以(2021)川14刑终101号刑事裁定书裁定：驳回上诉，维持原判。刑期自2020年10月28日至2035年10月27日止。于2021年11月23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77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未执行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，有青神县人民法院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2021年12月27日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出具的（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2021）川1425执814号之一终结本次执行裁定书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综上所述，罪犯周华君在服刑期间，能认罪悔罪，遵守法律法规及监规，接受教育改造，积极参加思想、文化、职业技术教育，积极参加劳动，努力完成劳动任务，确有悔改表现，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为此，根据《中华人民共和国监狱法》第二十九条、《中华人民共和国刑法》第七十八条、《中华人民共和国刑事诉讼法》第二百七十三条第二款的规定，建议对罪犯周华君减刑六个月。特报请裁定。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附：罪犯周华君卷宗材料一卷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AAD2E6E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2024-10-10T06:55:23Z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