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519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罪犯吴书兵，男，1983年1月9日出生，汉族，初中文化，户籍所在地:四川省金堂县云合镇金鸡山村5组6号，现在四川省眉州监狱六监区服刑。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因故意杀人罪，经四川省成都市中级人民法院于2022年2月25日以(2022)川01刑初10号刑事附带民事判决书判处死刑，缓期二年执行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剥夺政治权利终身，赔偿原告方47260元。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被告人未提出上诉，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四川省高级人民法院于2022年4月28日以(2022)川刑核17462184号刑事裁定书裁定：核准四川省成都市中级人民法院（2022）01刑初10号以故意杀人罪判处被告人吴书兵死刑，缓期二年执行，剥夺政治权利终身的刑事附带民事判决。死缓考验期自2022年6月14日至2024年6月13日止。于2022年8月25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无故意犯罪行为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，具体事实如下：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80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该犯财产性判项未履行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综上所述，罪犯吴书兵在服刑期间，能认罪悔罪，遵守法律法规及监规，接受教育改造，积极参加思想、文化、职业技术教育，积极参加劳动，努力完成劳动任务，该犯系故意杀人罪被判处死缓,依法应当从严。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，建议对罪犯吴书兵减为无期徒刑，剥夺政治权利终身不变。特报请裁定。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四川省高级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附：罪犯吴书兵卷宗材料一卷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DC20502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2024-10-10T06:55:18Z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