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529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罪犯刘影，男，1979年2月10日出生，汉族，中专文化，户籍所在地:四川省仁寿县，现在四川省眉州监狱六监区服刑。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聚众斗殴罪、开设赌场罪、窝藏罪，经四川省洪雅县人民法院于2019年12月20日以(2019)川1423刑初183号刑事判决书判处有期徒刑八年，并处罚金人民币十五万元。因该犯及同案犯不服，提出上诉。经四川省眉山市中级人民法院于2020年7月8日以(2020)川14刑终67号刑事裁定书,驳回上诉，维持原判。刑期自2018年11月25日至2026年11月24日止。于2020年8月12日入四川省眉州监狱服刑改造。服刑期间执行刑期变动情况：经四川省眉山市中级人民法院于2022年9月23日以（2022）川14刑更414号刑事裁定书裁定减刑六个月。现刑期至2026年5月24日止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87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该犯财产性判项已履行，有洪雅县人民法院出具的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150000元收据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综上所述，罪犯刘影在服刑期间，能认罪悔罪，遵守法律法规及监规，接受教育改造，积极参加思想、文化、职业技术教育，积极参加劳动，努力完成劳动任务，确有悔改表现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为此，根据《中华人民共和国监狱法》第二十九条、《中华人民共和国刑法》第七十八条、《中华人民共和国刑事诉讼法》第二百七十三条第二款的规定，建议对罪犯刘影减刑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附：罪犯刘影卷宗材料一卷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9456BBD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2024-10-10T06:55:22Z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