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16" w:rsidRDefault="004D0492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5F7F16" w:rsidRDefault="004D0492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5F7F16" w:rsidRDefault="005F7F16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5F7F16" w:rsidRDefault="004D0492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）川眉狱减字第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518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号</w:t>
      </w:r>
    </w:p>
    <w:p w:rsidR="005F7F16" w:rsidRDefault="004D049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罪犯刘建勋，男，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1977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15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日出生，汉族，小学文化，户籍所在地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: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四川省成都市龙泉驿区十陵千弓村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9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组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19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号，现在四川省眉州监狱六监区服刑。</w:t>
      </w:r>
    </w:p>
    <w:p w:rsidR="005F7F16" w:rsidRDefault="004D0492">
      <w:pPr>
        <w:spacing w:line="580" w:lineRule="exact"/>
        <w:ind w:firstLineChars="200" w:firstLine="640"/>
        <w:rPr>
          <w:rFonts w:ascii="仿宋" w:eastAsia="仿宋" w:hAnsi="仿宋"/>
          <w:bCs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因故意杀人罪，经四川省成都市中级人民法院于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12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9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日以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(2021)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川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01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刑初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198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号刑事附带民事判决书判处死刑，缓期二年执行，</w:t>
      </w:r>
      <w:bookmarkStart w:id="0" w:name="_GoBack"/>
      <w:bookmarkEnd w:id="0"/>
      <w:r>
        <w:rPr>
          <w:rFonts w:ascii="仿宋" w:eastAsia="仿宋" w:hAnsi="仿宋" w:hint="eastAsia"/>
          <w:color w:val="000000" w:themeColor="text1"/>
          <w:sz w:val="32"/>
          <w:szCs w:val="32"/>
        </w:rPr>
        <w:t>剥夺政治权利终身，赔偿原告方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47260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元。因该犯不服，提起上诉。经四川省高级人民法院于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2022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5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30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日以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(2022)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川刑终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70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号刑事裁定书裁定：驳回上诉，维持原判。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死缓考验期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自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2022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6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7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日至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6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6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日止。于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2022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8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25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日入四川省眉州监狱服刑改造。</w:t>
      </w:r>
    </w:p>
    <w:p w:rsidR="005F7F16" w:rsidRDefault="004D0492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该犯在服刑改造期间，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无故意犯罪行为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，具体事实如下：</w:t>
      </w:r>
    </w:p>
    <w:p w:rsidR="005F7F16" w:rsidRDefault="004D049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2024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年上半年思想教育成绩为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67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分</w:t>
      </w:r>
      <w:r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。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在劳动改造中态度端正，服从安排，认真学习劳动技能，遵守劳动制度，能积极参加劳动，按时完成劳动任务。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该犯财产性判项未履行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。本考核期内，该犯共获得表扬</w:t>
      </w:r>
      <w:r>
        <w:rPr>
          <w:rFonts w:ascii="仿宋" w:eastAsia="仿宋" w:hAnsi="仿宋"/>
          <w:color w:val="000000" w:themeColor="text1"/>
          <w:sz w:val="32"/>
          <w:szCs w:val="32"/>
        </w:rPr>
        <w:t>2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个。</w:t>
      </w:r>
    </w:p>
    <w:p w:rsidR="005F7F16" w:rsidRDefault="004D049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综上所述，罪犯刘建勋在服刑期间，能认罪悔罪，遵守法律法规及监规，接受教育改造，积极参加思想、文化、职业技术教育，积极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参加劳动，努力完成劳动任务，该犯系故意杀人罪被判处死缓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,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依法应当从严。</w:t>
      </w:r>
    </w:p>
    <w:p w:rsidR="005F7F16" w:rsidRDefault="004D0492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，建议对罪犯刘建勋减为无期徒刑，剥夺政治权利终身不变。特报请裁定。</w:t>
      </w:r>
    </w:p>
    <w:p w:rsidR="005F7F16" w:rsidRDefault="004D0492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5F7F16" w:rsidRDefault="004D0492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四川省高级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人民法院</w:t>
      </w:r>
    </w:p>
    <w:p w:rsidR="005F7F16" w:rsidRDefault="004D0492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</w:p>
    <w:p w:rsidR="005F7F16" w:rsidRDefault="004D0492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二〇二四年九月二十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九日</w:t>
      </w:r>
    </w:p>
    <w:p w:rsidR="005F7F16" w:rsidRDefault="005F7F16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5F7F16" w:rsidRDefault="004D0492">
      <w:pPr>
        <w:rPr>
          <w:rFonts w:ascii="仿宋" w:eastAsia="仿宋" w:hAnsi="仿宋"/>
          <w:color w:val="000000" w:themeColor="text1"/>
          <w:sz w:val="32"/>
          <w:szCs w:val="32"/>
        </w:rPr>
        <w:sectPr w:rsidR="005F7F16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附：罪犯刘建勋卷宗材料一卷</w:t>
      </w:r>
    </w:p>
    <w:p w:rsidR="005F7F16" w:rsidRDefault="005F7F16">
      <w:pPr>
        <w:rPr>
          <w:rFonts w:ascii="仿宋" w:eastAsia="仿宋" w:hAnsi="仿宋"/>
          <w:color w:val="000000" w:themeColor="text1"/>
          <w:sz w:val="32"/>
          <w:szCs w:val="32"/>
        </w:rPr>
      </w:pPr>
    </w:p>
    <w:sectPr w:rsidR="005F7F16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D0492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5F7F1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A878C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FC972944</Template>
  <TotalTime>239</TotalTime>
  <Pages>2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杨悠悠</cp:lastModifiedBy>
  <cp:revision>146</cp:revision>
  <dcterms:created xsi:type="dcterms:W3CDTF">2024-08-04T03:28:00Z</dcterms:created>
  <dcterms:modified xsi:type="dcterms:W3CDTF">2024-11-20T02:16:00Z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