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阿比木土各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，女，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1962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阿比木土各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根据《最高人民法院关于办理减刑、假释案件具体应用法律的规定》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第三十四条</w:t>
      </w:r>
      <w:r>
        <w:rPr>
          <w:rFonts w:hint="eastAsia" w:ascii="仿宋_GB2312" w:hAnsi="仿宋" w:eastAsia="仿宋_GB2312"/>
          <w:sz w:val="32"/>
          <w:szCs w:val="32"/>
        </w:rPr>
        <w:t>之规定，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罪犯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阿比木土各</w:t>
      </w:r>
      <w:r>
        <w:rPr>
          <w:rFonts w:hint="eastAsia" w:ascii="仿宋_GB2312" w:hAnsi="仿宋" w:eastAsia="仿宋_GB2312"/>
          <w:sz w:val="32"/>
          <w:szCs w:val="32"/>
        </w:rPr>
        <w:t>新判决生效前的减刑裁定自动失效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，建议对罪犯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阿比木土各</w:t>
      </w:r>
      <w:r>
        <w:rPr>
          <w:rFonts w:hint="eastAsia" w:ascii="仿宋_GB2312" w:hAnsi="仿宋" w:eastAsia="仿宋_GB2312"/>
          <w:sz w:val="32"/>
          <w:szCs w:val="32"/>
        </w:rPr>
        <w:t>重新减刑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九个月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  <w:bookmarkStart w:id="0" w:name="_GoBack"/>
      <w:bookmarkEnd w:id="0"/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F7354D2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沈梅</cp:lastModifiedBy>
  <dcterms:modified xsi:type="dcterms:W3CDTF">2025-06-23T07:47:59Z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