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142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侯祖贵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1995年11月8日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文盲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故意伤害罪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2020年4月1日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019)川1527刑初180号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附带民事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判决书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四年四个月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附带共同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民事赔偿82726.434元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侯祖贵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2019年3月4日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7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2020年4月29日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在监狱服刑期间因漏罪，四川省宜宾市翠屏区人民法院于2020年12月11日作出（2020）川1502刑初353号刑事判决，以被告人侯祖贵犯聚众斗殴罪，判处有期徒刑三年，合并原判决定执行有期徒刑七年。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2019年3月4日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6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止。四川省宜宾市中级人民法院于2022年11月28日以(2022)川15刑更705号刑事裁定书裁定减去有期徒刑五个月，应于2025年10月3日刑满。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分，语文73.6分，数学76分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，技术教育79分，同时该犯还经常主动向民警作思想汇报，有效地促进了自己的日常改造。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共同</w:t>
      </w:r>
      <w:r>
        <w:rPr>
          <w:rFonts w:ascii="仿宋" w:hAnsi="仿宋" w:eastAsia="仿宋"/>
          <w:snapToGrid w:val="0"/>
          <w:sz w:val="32"/>
          <w:szCs w:val="32"/>
        </w:rPr>
        <w:t>民事赔偿82726.434元，已履行2903元；有家庭困难证明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侯祖贵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5个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侯祖贵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侯祖贵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侯祖贵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45778D"/>
    <w:rsid w:val="11E836E2"/>
    <w:rsid w:val="1255779B"/>
    <w:rsid w:val="14F55004"/>
    <w:rsid w:val="15476C94"/>
    <w:rsid w:val="180711D9"/>
    <w:rsid w:val="1C3F7E64"/>
    <w:rsid w:val="2E273D62"/>
    <w:rsid w:val="37644D7F"/>
    <w:rsid w:val="39050AF5"/>
    <w:rsid w:val="395876D4"/>
    <w:rsid w:val="3C8E71C5"/>
    <w:rsid w:val="3CCE529C"/>
    <w:rsid w:val="494867A0"/>
    <w:rsid w:val="4F0A4F51"/>
    <w:rsid w:val="5D4928F3"/>
    <w:rsid w:val="5F3501EA"/>
    <w:rsid w:val="60A245FD"/>
    <w:rsid w:val="710C78D0"/>
    <w:rsid w:val="71A779D9"/>
    <w:rsid w:val="7A703F4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13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2025-04-11T01:41:07Z</cp:lastPrinted>
  <dcterms:modified xsi:type="dcterms:W3CDTF">2025-04-11T01:41:18Z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4E7360450AFC4FB7BD194B818166EBD4_12</vt:lpwstr>
  </property>
</Properties>
</file>