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61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赵代淇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1987年2月26日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妨害信用卡管理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ascii="仿宋" w:hAnsi="仿宋" w:eastAsia="仿宋"/>
          <w:bCs/>
          <w:kern w:val="2"/>
          <w:sz w:val="32"/>
          <w:szCs w:val="44"/>
        </w:rPr>
        <w:t>、掩饰、隐瞒犯罪所得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2022年6月7日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（2022）川1503刑初5号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六年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罚金6万元，追缴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违法所得</w:t>
      </w:r>
      <w:r>
        <w:rPr>
          <w:rFonts w:ascii="仿宋" w:hAnsi="仿宋" w:eastAsia="仿宋"/>
          <w:bCs/>
          <w:kern w:val="2"/>
          <w:sz w:val="32"/>
          <w:szCs w:val="44"/>
        </w:rPr>
        <w:t>1万元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赵代淇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26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262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号刑事判决书裁定书，驳回上诉，维持原判，刑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期自</w:t>
      </w:r>
      <w:r>
        <w:rPr>
          <w:rFonts w:ascii="仿宋" w:hAnsi="仿宋" w:eastAsia="仿宋"/>
          <w:bCs/>
          <w:kern w:val="2"/>
          <w:sz w:val="32"/>
          <w:szCs w:val="44"/>
        </w:rPr>
        <w:t>2021年5月27日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2027年5月26日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2022年10月25日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罚金6万元，已履行；追缴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违法所得</w:t>
      </w:r>
      <w:r>
        <w:rPr>
          <w:rFonts w:ascii="仿宋" w:hAnsi="仿宋" w:eastAsia="仿宋"/>
          <w:snapToGrid w:val="0"/>
          <w:sz w:val="32"/>
          <w:szCs w:val="32"/>
        </w:rPr>
        <w:t>1万元，已履行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赵代淇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赵代淇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  <w:lang w:eastAsia="zh-CN"/>
        </w:rPr>
        <w:t>金融从严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赵代淇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六个月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赵代淇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CF42F2C"/>
    <w:rsid w:val="15476C94"/>
    <w:rsid w:val="20C05018"/>
    <w:rsid w:val="23BB0C99"/>
    <w:rsid w:val="49CE65EC"/>
    <w:rsid w:val="4A2247C4"/>
    <w:rsid w:val="54420317"/>
    <w:rsid w:val="586A64C1"/>
    <w:rsid w:val="71C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10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2025-01-22T02:17:16Z</cp:lastPrinted>
  <dcterms:modified xsi:type="dcterms:W3CDTF">2025-01-22T02:17:19Z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D72E1CCA6B1E4AB1B0641465B60A1CF8_12</vt:lpwstr>
  </property>
</Properties>
</file>