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罪犯刘东洋，男，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2000年3月7日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，原户籍所在地：四川省荣县，现在四川省汉王山监狱四监区服刑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因诈骗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2021年8月3日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以(2021)川1527刑初81号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书，判处有期徒刑十一年，并处罚金10万元，退赔被害人损失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557016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，五人共同退赔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447000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被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告人刘东洋的同案犯不服判决提起上诉，四川省宜宾市中级人民法院于2021年10月18日作出（2021）川15刑终323号刑事判决书，判决维持对被告人刘东洋的判决。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2020年9月4日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2031年9月3日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86.8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  <w:t>罚金10万元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  <w:t>已缴纳8000元，退赔被害人损失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  <w:lang w:val="en-US" w:eastAsia="zh-CN"/>
        </w:rPr>
        <w:t>557016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  <w:t>元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  <w:t>未履行，五人共同退赔447000元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0"/>
          <w:szCs w:val="30"/>
          <w:u w:val="none"/>
        </w:rPr>
        <w:t>未履行。有家庭经济困难证明。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，罪犯刘东洋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6个，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综上所述，罪犯刘东洋在服刑改造期间，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为此，根据《中华人民共和国监狱法》第二十九条、《中华人民共和国刑法》第七十八条、《中华人民共和国刑事诉讼法》第二百七十三条第二款的规定，建议对罪犯刘东洋减刑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附：罪犯刘东洋减刑材料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542F9E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670340"/>
    <w:rsid w:val="3F9D618F"/>
    <w:rsid w:val="41955928"/>
    <w:rsid w:val="45FE5330"/>
    <w:rsid w:val="4AF269ED"/>
    <w:rsid w:val="4BEE4D79"/>
    <w:rsid w:val="4EB3475E"/>
    <w:rsid w:val="4EC90058"/>
    <w:rsid w:val="53902C44"/>
    <w:rsid w:val="581D7A71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2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2025-01-22T02:14:45Z</cp:lastPrinted>
  <dcterms:modified xsi:type="dcterms:W3CDTF">2025-01-22T02:14:48Z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AF210CA000A14A8BA4B7F4941CCCB0E0_12</vt:lpwstr>
  </property>
</Properties>
</file>