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164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罪犯黎扬山，男，</w:t>
      </w:r>
      <w:r>
        <w:rPr>
          <w:rFonts w:ascii="仿宋" w:hAnsi="仿宋" w:eastAsia="仿宋"/>
          <w:color w:val="auto"/>
          <w:sz w:val="32"/>
          <w:szCs w:val="32"/>
        </w:rPr>
        <w:t>1989年04月13日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重庆市巫山县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广东省惠州市中级人民法院于</w:t>
      </w:r>
      <w:r>
        <w:rPr>
          <w:rFonts w:ascii="仿宋" w:hAnsi="仿宋" w:eastAsia="仿宋"/>
          <w:color w:val="auto"/>
          <w:sz w:val="32"/>
          <w:szCs w:val="32"/>
        </w:rPr>
        <w:t>2014年06月30日</w:t>
      </w:r>
      <w:r>
        <w:rPr>
          <w:rFonts w:hint="eastAsia" w:ascii="仿宋" w:hAnsi="仿宋" w:eastAsia="仿宋"/>
          <w:color w:val="auto"/>
          <w:sz w:val="32"/>
          <w:szCs w:val="32"/>
        </w:rPr>
        <w:t>作出(2013)惠中法刑一初字第128号刑事附带民事判决书，以被告人黎扬山犯故意伤害罪，判处有期徒刑十五年，剥夺政治权利五年；犯贩卖毒品罪，判处有期徒刑四年，并处罚金20000元，决定执行有期徒刑十七年，剥夺政治权利五年，并处罚金20000元，民事赔偿34290元。未提起上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</w:t>
      </w:r>
      <w:r>
        <w:rPr>
          <w:rFonts w:ascii="仿宋" w:hAnsi="仿宋" w:eastAsia="仿宋"/>
          <w:color w:val="auto"/>
          <w:sz w:val="32"/>
          <w:szCs w:val="32"/>
        </w:rPr>
        <w:t>二〇一三年五月二十五日</w:t>
      </w:r>
      <w:r>
        <w:rPr>
          <w:rFonts w:hint="eastAsia" w:ascii="仿宋" w:hAnsi="仿宋" w:eastAsia="仿宋"/>
          <w:color w:val="auto"/>
          <w:sz w:val="32"/>
          <w:szCs w:val="32"/>
        </w:rPr>
        <w:t>起至</w:t>
      </w:r>
      <w:r>
        <w:rPr>
          <w:rFonts w:ascii="仿宋" w:hAnsi="仿宋" w:eastAsia="仿宋"/>
          <w:color w:val="auto"/>
          <w:sz w:val="32"/>
          <w:szCs w:val="32"/>
        </w:rPr>
        <w:t>二〇三〇年五月二十四日</w:t>
      </w:r>
      <w:r>
        <w:rPr>
          <w:rFonts w:hint="eastAsia" w:ascii="仿宋" w:hAnsi="仿宋" w:eastAsia="仿宋"/>
          <w:color w:val="auto"/>
          <w:sz w:val="32"/>
          <w:szCs w:val="32"/>
        </w:rPr>
        <w:t>止。于</w:t>
      </w:r>
      <w:r>
        <w:rPr>
          <w:rFonts w:ascii="仿宋" w:hAnsi="仿宋" w:eastAsia="仿宋"/>
          <w:color w:val="auto"/>
          <w:sz w:val="32"/>
          <w:szCs w:val="32"/>
        </w:rPr>
        <w:t>2014年8月27日送广东省揭阳监狱服刑改造，于2015年10月12日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调入我狱</w:t>
      </w:r>
      <w:r>
        <w:rPr>
          <w:rFonts w:hint="eastAsia" w:ascii="仿宋" w:hAnsi="仿宋" w:eastAsia="仿宋"/>
          <w:color w:val="auto"/>
          <w:sz w:val="32"/>
          <w:szCs w:val="32"/>
        </w:rPr>
        <w:t>服刑改造。服刑期间刑罚变更执行情况：四川省广元市中级人民法院于2016年8月8日作出（2016）川08刑更854号刑事裁定减刑八个月；于2018年6月1日作出（2018）川08刑更112号刑事裁定减刑五个月；于2020年9月18日作出（2020）川08刑更384号刑事裁定减刑八个月；于2022年9月30日作出（2022）川08刑更538号刑事裁定减刑八个月，应于二〇二七年十二月二十四日满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黎扬山在服刑期间，认罪悔罪；遵守法律法规及监规，接受教育改造；积极参加思想、文化、职业技术教育；积极参加劳动，努力完成劳动任务；已履行罚金3420元，已履行民事赔偿1600元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共计获得表扬七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获得2022年、2023年监狱级改造积极分子和2023年省级改造积极分子。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综上所述，罪犯黎扬山在服刑期间，认罪悔罪，遵规守纪，积极改造，确有悔改表现。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为此，根据《中华人民共和国监狱法》第二十九条、《中华人民共和国刑法》第七十八条、《中华人民共和国刑事诉讼法》第二百七十三条第二款的规定，建议对罪犯黎扬山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减刑九个月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1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2025-03-25T01:29:31Z</dcterms:created>
  <dc:creator>MyPC</dc:creator>
  <cp:lastModifiedBy>何星燊</cp:lastModifiedBy>
  <dcterms:modified xsi:type="dcterms:W3CDTF">2025-03-25T01:29:35Z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12B36893CB4246C7B05B6DEADC9AB190</vt:lpwstr>
  </property>
</Properties>
</file>