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213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李含东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1971年5月3日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无业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四川省简阳市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因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盗窃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罪，于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2001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被判处有期徒刑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六个月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2001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日刑满释放。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四川省三台县人民法院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2021年7月26日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作出(2021)川0722刑初64号刑事判决书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李含东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寻衅滋事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六个月；犯敲诈勒索罪，判处有期徒刑四年，并处罚金30000元；犯非法持有枪支罪，判处有期徒刑一年六个月；犯非法采矿罪，判处有期徒刑三年六个月，并处罚金200000元；决定执行有期徒刑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十二年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罚金23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0000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元，责令退赔被害人合计73000元，继续追缴李含东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及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同案违法所得1083110元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李含东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及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同案犯提出上诉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四川省绵阳市中级人民法院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2021年10月15日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(2021)川07刑终208号刑事裁定书，驳回上诉，维持原判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二〇一九年十二月二十三日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二〇三一年十一月二十五日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2021年11月9日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李含东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highlight w:val="none"/>
        </w:rPr>
        <w:t>已履行违法所得249178.4元，退赔41352元</w:t>
      </w:r>
      <w:r>
        <w:rPr>
          <w:rFonts w:ascii="仿宋" w:hAnsi="仿宋" w:eastAsia="仿宋"/>
          <w:b w:val="0"/>
          <w:bCs/>
          <w:color w:val="auto"/>
          <w:sz w:val="32"/>
          <w:szCs w:val="32"/>
          <w:highlight w:val="none"/>
        </w:rPr>
        <w:t>。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获得2023年度、2024年度监狱级改造积极分子，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李含东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该犯恶势力纠集者，依法应当从严。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李含东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七个月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</w:rPr>
        <w:t>20</w:t>
      </w:r>
      <w:r>
        <w:rPr>
          <w:rFonts w:ascii="仿宋" w:hAnsi="仿宋" w:eastAsia="仿宋"/>
          <w:color w:val="auto"/>
          <w:highlight w:val="none"/>
        </w:rPr>
        <w:t>2</w:t>
      </w:r>
      <w:r>
        <w:rPr>
          <w:rFonts w:hint="eastAsia" w:ascii="仿宋" w:hAnsi="仿宋" w:eastAsia="仿宋"/>
          <w:color w:val="auto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highlight w:val="none"/>
        </w:rPr>
        <w:t>年</w:t>
      </w:r>
      <w:r>
        <w:rPr>
          <w:rFonts w:hint="eastAsia" w:ascii="仿宋" w:hAnsi="仿宋" w:eastAsia="仿宋"/>
          <w:color w:val="auto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color w:val="auto"/>
          <w:highlight w:val="none"/>
        </w:rPr>
        <w:t>月</w:t>
      </w:r>
      <w:r>
        <w:rPr>
          <w:rFonts w:hint="eastAsia" w:ascii="仿宋" w:hAnsi="仿宋" w:eastAsia="仿宋"/>
          <w:color w:val="auto"/>
          <w:highlight w:val="none"/>
          <w:lang w:eastAsia="zh-CN"/>
        </w:rPr>
        <w:t>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86A38"/>
    <w:rsid w:val="02D8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2025-03-25T06:45:00Z</dcterms:created>
  <dc:creator>MyPC</dc:creator>
  <cp:lastModifiedBy>MyPC</cp:lastModifiedBy>
  <dcterms:modified xsi:type="dcterms:W3CDTF">2025-03-25T06:45:41Z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5B618FE130954E1B9BB48F0A58F6A5BD</vt:lpwstr>
  </property>
</Properties>
</file>