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郭应凤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1980年8月17日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四川省绵阳市涪城区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四川省三台县人民法院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2021年8月20日</w:t>
      </w:r>
      <w:r>
        <w:rPr>
          <w:rFonts w:hint="eastAsia" w:ascii="仿宋" w:hAnsi="仿宋" w:eastAsia="仿宋"/>
          <w:sz w:val="32"/>
          <w:szCs w:val="32"/>
        </w:rPr>
        <w:t>作出(2021)川0722刑初188号刑事判决书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郭应凤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诈骗罪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八年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罚金96000元，责令该犯退赔五名被害人损失款共计414044元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二〇二一年四月一日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二〇二九年三月三十一日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2021年10月19日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郭应凤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在服刑期间，认罪悔罪；遵守法律法规及监规，接受教育改造；积极参加思想、文化、职业技术教育；积极参加劳动，努力完成劳动任务；已履行罚金500元。本次考</w:t>
      </w:r>
      <w:r>
        <w:rPr>
          <w:rFonts w:ascii="仿宋" w:hAnsi="仿宋" w:eastAsia="仿宋"/>
          <w:sz w:val="32"/>
          <w:szCs w:val="32"/>
        </w:rPr>
        <w:t>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获得2023年度监狱级改造积极分子、2024年度监狱级改造积极分子。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郭应凤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郭应凤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220F49C7"/>
    <w:rsid w:val="240D255D"/>
    <w:rsid w:val="27E46883"/>
    <w:rsid w:val="305A1F6D"/>
    <w:rsid w:val="39B701AB"/>
    <w:rsid w:val="3B6A68DE"/>
    <w:rsid w:val="53BF7F85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2025-03-24T08:11:19Z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