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139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罪犯姜焜舰，男，1995年4月7日出生，汉族，初中肄业，捕前无业，原户籍所在地：四川省绵阳市游仙区。现在四川省广元监狱十一监区服刑。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绵阳市涪城区人民法院于2023年5月11日作出(2023)川0703刑初254号刑事判决书，以被告人姜焜舰犯贩卖毒品罪，判处有期徒刑三年，并处罚金20000元，追缴违法所得640元，上缴国库。未提出上诉，判决发生法律效力后交付执行。刑期自二○二三年二月二十一日起至二○二六年二月二十日止。于2023年6月9日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罪犯姜焜舰在服刑期间，认罪悔罪；遵守法律法规及监规，接受教育改造；积极参加思想、文化、职业技术教育；积极参加劳动，努力完成劳动任务；已履行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财产性判项20651.93元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三个，悔改表现评定结论为“确有悔改表现”。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综上所述，罪犯姜焜舰在服刑期间，认罪悔罪，遵规守纪，积极改造，确有悔改表现。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为此，根据《中华人民共和国监狱法》第二十九条、《中华人民共和国刑法》第七十八条、《中华人民共和国刑事诉讼法》第二百七十三条第二款的规定，建议对罪犯姜焜舰减刑八个月。特报请裁定。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6B75C86"/>
    <w:rsid w:val="1FD54542"/>
    <w:rsid w:val="3B393835"/>
    <w:rsid w:val="5CCC381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8346BE783C264A818CD2433645E01DE1</vt:lpwstr>
  </property>
</Properties>
</file>