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张杰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1959年1月3日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务农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四川省平武县。因盗窃罪，于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1984</w:t>
      </w:r>
      <w:r>
        <w:rPr>
          <w:rFonts w:hint="eastAsia" w:ascii="仿宋" w:hAnsi="仿宋" w:eastAsia="仿宋"/>
          <w:sz w:val="32"/>
          <w:szCs w:val="32"/>
          <w:lang w:eastAsia="zh-CN"/>
        </w:rPr>
        <w:t>年被判处有期徒刑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  <w:lang w:eastAsia="zh-CN"/>
        </w:rPr>
        <w:t>年；因投机倒把罪，于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1987</w:t>
      </w:r>
      <w:r>
        <w:rPr>
          <w:rFonts w:hint="eastAsia" w:ascii="仿宋" w:hAnsi="仿宋" w:eastAsia="仿宋"/>
          <w:sz w:val="32"/>
          <w:szCs w:val="32"/>
          <w:lang w:eastAsia="zh-CN"/>
        </w:rPr>
        <w:t>年被判处有期徒刑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  <w:lang w:eastAsia="zh-CN"/>
        </w:rPr>
        <w:t>年；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因故意伤害罪，</w:t>
      </w:r>
      <w:r>
        <w:rPr>
          <w:rFonts w:hint="eastAsia" w:ascii="仿宋" w:hAnsi="仿宋" w:eastAsia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2002</w:t>
      </w:r>
      <w:r>
        <w:rPr>
          <w:rFonts w:hint="eastAsia" w:ascii="仿宋" w:hAnsi="仿宋" w:eastAsia="仿宋"/>
          <w:sz w:val="32"/>
          <w:szCs w:val="32"/>
          <w:lang w:eastAsia="zh-CN"/>
        </w:rPr>
        <w:t>年被判处有期徒刑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六个月</w:t>
      </w:r>
      <w:r>
        <w:rPr>
          <w:rFonts w:hint="eastAsia" w:ascii="仿宋" w:hAnsi="仿宋" w:eastAsia="仿宋"/>
          <w:sz w:val="32"/>
          <w:szCs w:val="32"/>
          <w:lang w:eastAsia="zh-CN"/>
        </w:rPr>
        <w:t>，于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2004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  <w:lang w:eastAsia="zh-CN"/>
        </w:rPr>
        <w:t>日刑满释放。现在四</w:t>
      </w:r>
      <w:r>
        <w:rPr>
          <w:rFonts w:hint="eastAsia" w:ascii="仿宋" w:hAnsi="仿宋" w:eastAsia="仿宋"/>
          <w:sz w:val="32"/>
          <w:szCs w:val="32"/>
        </w:rPr>
        <w:t>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四川省江油市人民法院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2017年6月30日</w:t>
      </w:r>
      <w:r>
        <w:rPr>
          <w:rFonts w:hint="eastAsia" w:ascii="仿宋" w:hAnsi="仿宋" w:eastAsia="仿宋"/>
          <w:sz w:val="32"/>
          <w:szCs w:val="32"/>
        </w:rPr>
        <w:t>作出(2017)川0781刑初202号刑事判决书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张杰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贩卖毒品罪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九年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罚金20000元</w:t>
      </w:r>
      <w:r>
        <w:rPr>
          <w:rFonts w:hint="eastAsia" w:ascii="仿宋" w:hAnsi="仿宋" w:eastAsia="仿宋"/>
          <w:sz w:val="32"/>
          <w:szCs w:val="32"/>
        </w:rPr>
        <w:t>。被告人张杰提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上诉，四川省绵阳市中级人民法院于2017年8月8日作出（2017）川07刑终333号刑事裁定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</w:rPr>
        <w:t>，驳回上诉，维持原判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二〇一六年十一月二十八日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二〇二五年十一月二十七日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2017年9月12日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张杰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在服刑期间，认罪悔罪；遵守法律法规及监规，接受教育改造；积极参加思想、文化、职业技术教育；积极参加劳动，努力完成劳动任务；罚金20000元已履行200元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十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张杰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张杰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773EFF"/>
    <w:rsid w:val="0891083E"/>
    <w:rsid w:val="08EE6BBF"/>
    <w:rsid w:val="099401EF"/>
    <w:rsid w:val="0C66674E"/>
    <w:rsid w:val="220F49C7"/>
    <w:rsid w:val="2321787A"/>
    <w:rsid w:val="240D255D"/>
    <w:rsid w:val="240F1F32"/>
    <w:rsid w:val="27E46883"/>
    <w:rsid w:val="29BD26AB"/>
    <w:rsid w:val="29EA3065"/>
    <w:rsid w:val="2D2C176D"/>
    <w:rsid w:val="3846287E"/>
    <w:rsid w:val="39B701AB"/>
    <w:rsid w:val="3B6A68DE"/>
    <w:rsid w:val="42E9558D"/>
    <w:rsid w:val="53BF7F85"/>
    <w:rsid w:val="5A7E3402"/>
    <w:rsid w:val="5BF3088B"/>
    <w:rsid w:val="65F8173E"/>
    <w:rsid w:val="6A092850"/>
    <w:rsid w:val="6F287474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2025-02-05T02:51:49Z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