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王梦桃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1991年05月27日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王梦桃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王梦桃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2A605595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