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张磊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1989年5月4日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高中</w:t>
      </w:r>
      <w:r>
        <w:rPr>
          <w:rFonts w:hint="eastAsia" w:ascii="仿宋" w:hAnsi="仿宋" w:eastAsia="仿宋"/>
          <w:sz w:val="32"/>
          <w:szCs w:val="32"/>
        </w:rPr>
        <w:t>文化，捕前职业：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成都</w:t>
      </w:r>
      <w:r>
        <w:rPr>
          <w:rFonts w:hint="eastAsia" w:ascii="仿宋" w:hAnsi="仿宋" w:eastAsia="仿宋"/>
          <w:sz w:val="32"/>
          <w:szCs w:val="32"/>
          <w:lang w:eastAsia="zh-CN"/>
        </w:rPr>
        <w:t>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锦江区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四川省成都市青羊区人民法院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日作出(2021)川0105刑初1069号刑事判决书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张磊犯开设赌场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五年四个月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罚金三万元，追缴违法所得五万元，追缴赌资六万六千元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同案犯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成都市中级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(2022)川01刑终6号刑事裁定书，驳回上诉，维持原判。</w:t>
      </w:r>
      <w:r>
        <w:rPr>
          <w:rFonts w:hint="eastAsia" w:ascii="仿宋" w:hAnsi="仿宋" w:eastAsia="仿宋"/>
          <w:sz w:val="32"/>
          <w:szCs w:val="32"/>
        </w:rPr>
        <w:t>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二〇二一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二十九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二〇二六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二十八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张磊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罚金三万元，追缴违法所得五万元，追缴赌资六万六千</w:t>
      </w:r>
      <w:r>
        <w:rPr>
          <w:rFonts w:ascii="仿宋" w:hAnsi="仿宋" w:eastAsia="仿宋"/>
          <w:sz w:val="32"/>
          <w:szCs w:val="32"/>
        </w:rPr>
        <w:t>元。本次考核期内，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获得2023年度监狱级改造积极分子。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张磊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该犯已执行原判刑期二分之一以上，再犯风险评估报告结论为一般危险，社区调查评估意见为：适宜社区矫正。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为此，根据《中华人民共和国监狱法》第三十二条、《中华人民共和国刑法》第八十一条、第八十二条、《中华人民共和国刑事诉讼法》第二百七十三第二款的规定，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张磊假释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  <w:bookmarkStart w:id="0" w:name="_GoBack"/>
      <w:bookmarkEnd w:id="0"/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9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24</w:t>
      </w:r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4402271"/>
    <w:rsid w:val="076A7FFE"/>
    <w:rsid w:val="0891083E"/>
    <w:rsid w:val="08EE6BBF"/>
    <w:rsid w:val="220F49C7"/>
    <w:rsid w:val="240D255D"/>
    <w:rsid w:val="27E46883"/>
    <w:rsid w:val="5BF3088B"/>
    <w:rsid w:val="65077BAC"/>
    <w:rsid w:val="69FB11D3"/>
    <w:rsid w:val="745C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0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2024-09-25T05:57:31Z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FAE8DC0F61364DFF9A80A8B5F8CEDD81</vt:lpwstr>
  </property>
</Properties>
</file>