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四川省广元监狱</w:t>
      </w:r>
    </w:p>
    <w:p>
      <w:pPr>
        <w:spacing w:line="560" w:lineRule="exact"/>
        <w:jc w:val="center"/>
        <w:rPr>
          <w:rFonts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报请</w:t>
      </w:r>
      <w:r>
        <w:rPr>
          <w:rFonts w:hint="eastAsia" w:ascii="黑体" w:hAnsi="黑体" w:eastAsia="黑体"/>
          <w:color w:val="000000" w:themeColor="text1"/>
          <w:sz w:val="44"/>
          <w:szCs w:val="44"/>
          <w:lang w:val="en-US" w:eastAsia="zh-CN"/>
          <w14:textFill>
            <w14:solidFill>
              <w14:schemeClr w14:val="tx1"/>
            </w14:solidFill>
          </w14:textFill>
        </w:rPr>
        <w:t>假释</w:t>
      </w:r>
      <w:r>
        <w:rPr>
          <w:rFonts w:hint="eastAsia" w:ascii="黑体" w:hAnsi="黑体" w:eastAsia="黑体"/>
          <w:color w:val="000000" w:themeColor="text1"/>
          <w:sz w:val="44"/>
          <w:szCs w:val="44"/>
          <w14:textFill>
            <w14:solidFill>
              <w14:schemeClr w14:val="tx1"/>
            </w14:solidFill>
          </w14:textFill>
        </w:rPr>
        <w:t>建议书</w:t>
      </w:r>
    </w:p>
    <w:p>
      <w:pPr>
        <w:spacing w:line="560" w:lineRule="exact"/>
        <w:jc w:val="center"/>
        <w:rPr>
          <w:rFonts w:ascii="黑体" w:hAnsi="黑体" w:eastAsia="黑体"/>
          <w:color w:val="000000" w:themeColor="text1"/>
          <w:sz w:val="44"/>
          <w:szCs w:val="44"/>
          <w14:textFill>
            <w14:solidFill>
              <w14:schemeClr w14:val="tx1"/>
            </w14:solidFill>
          </w14:textFill>
        </w:rPr>
      </w:pPr>
    </w:p>
    <w:p>
      <w:pPr>
        <w:wordWrap w:val="0"/>
        <w:spacing w:line="56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）广狱建字第</w:t>
      </w:r>
      <w:r>
        <w:rPr>
          <w:rFonts w:hint="eastAsia" w:ascii="仿宋" w:hAnsi="仿宋" w:eastAsia="仿宋"/>
          <w:color w:val="000000" w:themeColor="text1"/>
          <w:sz w:val="32"/>
          <w:szCs w:val="32"/>
          <w:lang w:val="en-US" w:eastAsia="zh-CN"/>
          <w14:textFill>
            <w14:solidFill>
              <w14:schemeClr w14:val="tx1"/>
            </w14:solidFill>
          </w14:textFill>
        </w:rPr>
        <w:t>632</w:t>
      </w:r>
      <w:bookmarkStart w:id="0" w:name="_GoBack"/>
      <w:bookmarkEnd w:id="0"/>
      <w:r>
        <w:rPr>
          <w:rFonts w:hint="eastAsia" w:ascii="仿宋" w:hAnsi="仿宋" w:eastAsia="仿宋"/>
          <w:color w:val="000000" w:themeColor="text1"/>
          <w:sz w:val="32"/>
          <w:szCs w:val="32"/>
          <w14:textFill>
            <w14:solidFill>
              <w14:schemeClr w14:val="tx1"/>
            </w14:solidFill>
          </w14:textFill>
        </w:rPr>
        <w:t>号</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罪犯</w:t>
      </w:r>
      <w:r>
        <w:rPr>
          <w:rFonts w:hint="eastAsia" w:ascii="仿宋" w:hAnsi="仿宋" w:eastAsia="仿宋"/>
          <w:color w:val="000000" w:themeColor="text1"/>
          <w:sz w:val="32"/>
          <w:szCs w:val="32"/>
          <w:lang w:eastAsia="zh-CN"/>
          <w14:textFill>
            <w14:solidFill>
              <w14:schemeClr w14:val="tx1"/>
            </w14:solidFill>
          </w14:textFill>
        </w:rPr>
        <w:t>覃磊</w:t>
      </w:r>
      <w:r>
        <w:rPr>
          <w:rFonts w:hint="eastAsia" w:ascii="仿宋" w:hAnsi="仿宋" w:eastAsia="仿宋"/>
          <w:color w:val="000000" w:themeColor="text1"/>
          <w:sz w:val="32"/>
          <w:szCs w:val="32"/>
          <w14:textFill>
            <w14:solidFill>
              <w14:schemeClr w14:val="tx1"/>
            </w14:solidFill>
          </w14:textFill>
        </w:rPr>
        <w:t>，男，</w:t>
      </w:r>
      <w:r>
        <w:rPr>
          <w:rFonts w:hint="eastAsia" w:ascii="仿宋" w:hAnsi="仿宋" w:eastAsia="仿宋"/>
          <w:color w:val="000000" w:themeColor="text1"/>
          <w:sz w:val="32"/>
          <w:szCs w:val="32"/>
          <w:lang w:eastAsia="zh-CN"/>
          <w14:textFill>
            <w14:solidFill>
              <w14:schemeClr w14:val="tx1"/>
            </w14:solidFill>
          </w14:textFill>
        </w:rPr>
        <w:t>199</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lang w:eastAsia="zh-CN"/>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lang w:eastAsia="zh-CN"/>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18</w:t>
      </w:r>
      <w:r>
        <w:rPr>
          <w:rFonts w:hint="eastAsia" w:ascii="仿宋" w:hAnsi="仿宋" w:eastAsia="仿宋"/>
          <w:color w:val="000000" w:themeColor="text1"/>
          <w:sz w:val="32"/>
          <w:szCs w:val="32"/>
          <w:lang w:eastAsia="zh-CN"/>
          <w14:textFill>
            <w14:solidFill>
              <w14:schemeClr w14:val="tx1"/>
            </w14:solidFill>
          </w14:textFill>
        </w:rPr>
        <w:t>日</w:t>
      </w:r>
      <w:r>
        <w:rPr>
          <w:rFonts w:hint="eastAsia" w:ascii="仿宋" w:hAnsi="仿宋" w:eastAsia="仿宋"/>
          <w:color w:val="000000" w:themeColor="text1"/>
          <w:sz w:val="32"/>
          <w:szCs w:val="32"/>
          <w14:textFill>
            <w14:solidFill>
              <w14:schemeClr w14:val="tx1"/>
            </w14:solidFill>
          </w14:textFill>
        </w:rPr>
        <w:t>出生，汉族，</w:t>
      </w:r>
      <w:r>
        <w:rPr>
          <w:rFonts w:hint="eastAsia" w:ascii="仿宋" w:hAnsi="仿宋" w:eastAsia="仿宋"/>
          <w:color w:val="000000" w:themeColor="text1"/>
          <w:sz w:val="32"/>
          <w:szCs w:val="32"/>
          <w:lang w:eastAsia="zh-CN"/>
          <w14:textFill>
            <w14:solidFill>
              <w14:schemeClr w14:val="tx1"/>
            </w14:solidFill>
          </w14:textFill>
        </w:rPr>
        <w:t>初中</w:t>
      </w:r>
      <w:r>
        <w:rPr>
          <w:rFonts w:hint="eastAsia" w:ascii="仿宋" w:hAnsi="仿宋" w:eastAsia="仿宋"/>
          <w:color w:val="000000" w:themeColor="text1"/>
          <w:sz w:val="32"/>
          <w:szCs w:val="32"/>
          <w14:textFill>
            <w14:solidFill>
              <w14:schemeClr w14:val="tx1"/>
            </w14:solidFill>
          </w14:textFill>
        </w:rPr>
        <w:t>文化，捕前职业：</w:t>
      </w:r>
      <w:r>
        <w:rPr>
          <w:rFonts w:hint="eastAsia" w:ascii="仿宋" w:hAnsi="仿宋" w:eastAsia="仿宋"/>
          <w:color w:val="000000" w:themeColor="text1"/>
          <w:sz w:val="32"/>
          <w:szCs w:val="32"/>
          <w:lang w:eastAsia="zh-CN"/>
          <w14:textFill>
            <w14:solidFill>
              <w14:schemeClr w14:val="tx1"/>
            </w14:solidFill>
          </w14:textFill>
        </w:rPr>
        <w:t>务工</w:t>
      </w:r>
      <w:r>
        <w:rPr>
          <w:rFonts w:hint="eastAsia" w:ascii="仿宋" w:hAnsi="仿宋" w:eastAsia="仿宋"/>
          <w:color w:val="000000" w:themeColor="text1"/>
          <w:sz w:val="32"/>
          <w:szCs w:val="32"/>
          <w14:textFill>
            <w14:solidFill>
              <w14:schemeClr w14:val="tx1"/>
            </w14:solidFill>
          </w14:textFill>
        </w:rPr>
        <w:t>，原户籍所在地：</w:t>
      </w:r>
      <w:r>
        <w:rPr>
          <w:rFonts w:hint="eastAsia" w:ascii="仿宋" w:hAnsi="仿宋" w:eastAsia="仿宋"/>
          <w:color w:val="000000" w:themeColor="text1"/>
          <w:sz w:val="32"/>
          <w:szCs w:val="32"/>
          <w:lang w:eastAsia="zh-CN"/>
          <w14:textFill>
            <w14:solidFill>
              <w14:schemeClr w14:val="tx1"/>
            </w14:solidFill>
          </w14:textFill>
        </w:rPr>
        <w:t>重庆市大足县</w:t>
      </w:r>
      <w:r>
        <w:rPr>
          <w:rFonts w:hint="eastAsia" w:ascii="仿宋" w:hAnsi="仿宋" w:eastAsia="仿宋"/>
          <w:color w:val="000000" w:themeColor="text1"/>
          <w:sz w:val="32"/>
          <w:szCs w:val="32"/>
          <w14:textFill>
            <w14:solidFill>
              <w14:schemeClr w14:val="tx1"/>
            </w14:solidFill>
          </w14:textFill>
        </w:rPr>
        <w:t>。现在四川省广元监狱</w:t>
      </w:r>
      <w:r>
        <w:rPr>
          <w:rFonts w:hint="eastAsia" w:ascii="仿宋" w:hAnsi="仿宋" w:eastAsia="仿宋"/>
          <w:color w:val="000000" w:themeColor="text1"/>
          <w:sz w:val="32"/>
          <w:szCs w:val="32"/>
          <w:lang w:val="en-US" w:eastAsia="zh-CN"/>
          <w14:textFill>
            <w14:solidFill>
              <w14:schemeClr w14:val="tx1"/>
            </w14:solidFill>
          </w14:textFill>
        </w:rPr>
        <w:t>八</w:t>
      </w:r>
      <w:r>
        <w:rPr>
          <w:rFonts w:hint="eastAsia" w:ascii="仿宋" w:hAnsi="仿宋" w:eastAsia="仿宋"/>
          <w:color w:val="000000" w:themeColor="text1"/>
          <w:sz w:val="32"/>
          <w:szCs w:val="32"/>
          <w14:textFill>
            <w14:solidFill>
              <w14:schemeClr w14:val="tx1"/>
            </w14:solidFill>
          </w14:textFill>
        </w:rPr>
        <w:t>监区服刑。</w:t>
      </w:r>
    </w:p>
    <w:p>
      <w:pPr>
        <w:spacing w:line="560" w:lineRule="exact"/>
        <w:ind w:firstLine="640" w:firstLineChars="20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四川省绵阳市涪城区人民法院</w:t>
      </w:r>
      <w:r>
        <w:rPr>
          <w:rFonts w:hint="eastAsia" w:ascii="仿宋" w:hAnsi="仿宋" w:eastAsia="仿宋"/>
          <w:color w:val="000000" w:themeColor="text1"/>
          <w:sz w:val="32"/>
          <w:szCs w:val="32"/>
          <w14:textFill>
            <w14:solidFill>
              <w14:schemeClr w14:val="tx1"/>
            </w14:solidFill>
          </w14:textFill>
        </w:rPr>
        <w:t>于</w:t>
      </w:r>
      <w:r>
        <w:rPr>
          <w:rFonts w:hint="eastAsia" w:ascii="仿宋" w:hAnsi="仿宋" w:eastAsia="仿宋"/>
          <w:color w:val="000000" w:themeColor="text1"/>
          <w:sz w:val="32"/>
          <w:szCs w:val="32"/>
          <w:lang w:eastAsia="zh-CN"/>
          <w14:textFill>
            <w14:solidFill>
              <w14:schemeClr w14:val="tx1"/>
            </w14:solidFill>
          </w14:textFill>
        </w:rPr>
        <w:t>2022年11月1日</w:t>
      </w:r>
      <w:r>
        <w:rPr>
          <w:rFonts w:hint="eastAsia" w:ascii="仿宋" w:hAnsi="仿宋" w:eastAsia="仿宋"/>
          <w:color w:val="000000" w:themeColor="text1"/>
          <w:sz w:val="32"/>
          <w:szCs w:val="32"/>
          <w14:textFill>
            <w14:solidFill>
              <w14:schemeClr w14:val="tx1"/>
            </w14:solidFill>
          </w14:textFill>
        </w:rPr>
        <w:t>作出（2022）川0703刑初348号刑事判决书</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以</w:t>
      </w:r>
      <w:r>
        <w:rPr>
          <w:rFonts w:hint="eastAsia" w:ascii="仿宋" w:hAnsi="仿宋" w:eastAsia="仿宋"/>
          <w:color w:val="000000" w:themeColor="text1"/>
          <w:sz w:val="32"/>
          <w:szCs w:val="32"/>
          <w14:textFill>
            <w14:solidFill>
              <w14:schemeClr w14:val="tx1"/>
            </w14:solidFill>
          </w14:textFill>
        </w:rPr>
        <w:t>被告人</w:t>
      </w:r>
      <w:r>
        <w:rPr>
          <w:rFonts w:hint="eastAsia" w:ascii="仿宋" w:hAnsi="仿宋" w:eastAsia="仿宋"/>
          <w:color w:val="000000" w:themeColor="text1"/>
          <w:sz w:val="32"/>
          <w:szCs w:val="32"/>
          <w:lang w:eastAsia="zh-CN"/>
          <w14:textFill>
            <w14:solidFill>
              <w14:schemeClr w14:val="tx1"/>
            </w14:solidFill>
          </w14:textFill>
        </w:rPr>
        <w:t>覃磊</w:t>
      </w:r>
      <w:r>
        <w:rPr>
          <w:rFonts w:hint="eastAsia" w:ascii="仿宋" w:hAnsi="仿宋" w:eastAsia="仿宋"/>
          <w:color w:val="000000" w:themeColor="text1"/>
          <w:sz w:val="32"/>
          <w:szCs w:val="32"/>
          <w:lang w:val="en-US" w:eastAsia="zh-CN"/>
          <w14:textFill>
            <w14:solidFill>
              <w14:schemeClr w14:val="tx1"/>
            </w14:solidFill>
          </w14:textFill>
        </w:rPr>
        <w:t>犯</w:t>
      </w:r>
      <w:r>
        <w:rPr>
          <w:rFonts w:hint="eastAsia" w:ascii="仿宋" w:hAnsi="仿宋" w:eastAsia="仿宋"/>
          <w:color w:val="000000" w:themeColor="text1"/>
          <w:sz w:val="32"/>
          <w:szCs w:val="32"/>
          <w:lang w:eastAsia="zh-CN"/>
          <w14:textFill>
            <w14:solidFill>
              <w14:schemeClr w14:val="tx1"/>
            </w14:solidFill>
          </w14:textFill>
        </w:rPr>
        <w:t>掩饰、隐瞒犯罪所得</w:t>
      </w:r>
      <w:r>
        <w:rPr>
          <w:rFonts w:hint="eastAsia" w:ascii="仿宋" w:hAnsi="仿宋" w:eastAsia="仿宋"/>
          <w:color w:val="000000" w:themeColor="text1"/>
          <w:sz w:val="32"/>
          <w:szCs w:val="32"/>
          <w14:textFill>
            <w14:solidFill>
              <w14:schemeClr w14:val="tx1"/>
            </w14:solidFill>
          </w14:textFill>
        </w:rPr>
        <w:t>罪，判处有期徒刑</w:t>
      </w:r>
      <w:r>
        <w:rPr>
          <w:rFonts w:hint="eastAsia" w:ascii="仿宋" w:hAnsi="仿宋" w:eastAsia="仿宋"/>
          <w:color w:val="000000" w:themeColor="text1"/>
          <w:sz w:val="32"/>
          <w:szCs w:val="32"/>
          <w:lang w:eastAsia="zh-CN"/>
          <w14:textFill>
            <w14:solidFill>
              <w14:schemeClr w14:val="tx1"/>
            </w14:solidFill>
          </w14:textFill>
        </w:rPr>
        <w:t>三年，</w:t>
      </w:r>
      <w:r>
        <w:rPr>
          <w:rFonts w:hint="eastAsia" w:ascii="仿宋" w:hAnsi="仿宋" w:eastAsia="仿宋"/>
          <w:color w:val="000000" w:themeColor="text1"/>
          <w:sz w:val="32"/>
          <w:szCs w:val="32"/>
          <w14:textFill>
            <w14:solidFill>
              <w14:schemeClr w14:val="tx1"/>
            </w14:solidFill>
          </w14:textFill>
        </w:rPr>
        <w:t>并</w:t>
      </w:r>
      <w:r>
        <w:rPr>
          <w:rFonts w:hint="eastAsia" w:ascii="仿宋" w:hAnsi="仿宋" w:eastAsia="仿宋"/>
          <w:color w:val="000000" w:themeColor="text1"/>
          <w:sz w:val="32"/>
          <w:szCs w:val="32"/>
          <w:lang w:eastAsia="zh-CN"/>
          <w14:textFill>
            <w14:solidFill>
              <w14:schemeClr w14:val="tx1"/>
            </w14:solidFill>
          </w14:textFill>
        </w:rPr>
        <w:t>处罚金40000元。被告人覃磊及同案犯不服，提出上诉，四川省绵阳市中级人民法院于2022年12月12日作出（2022）川07刑终290号刑事裁定书，驳回上诉，维持原判，</w:t>
      </w:r>
      <w:r>
        <w:rPr>
          <w:rFonts w:hint="eastAsia" w:ascii="仿宋" w:hAnsi="仿宋" w:eastAsia="仿宋"/>
          <w:color w:val="000000" w:themeColor="text1"/>
          <w:sz w:val="32"/>
          <w:szCs w:val="32"/>
          <w:lang w:val="en-US" w:eastAsia="zh-CN"/>
          <w14:textFill>
            <w14:solidFill>
              <w14:schemeClr w14:val="tx1"/>
            </w14:solidFill>
          </w14:textFill>
        </w:rPr>
        <w:t>判决发生法律效力后交付执行</w:t>
      </w:r>
      <w:r>
        <w:rPr>
          <w:rFonts w:hint="eastAsia" w:ascii="仿宋" w:hAnsi="仿宋" w:eastAsia="仿宋"/>
          <w:color w:val="000000" w:themeColor="text1"/>
          <w:sz w:val="32"/>
          <w:szCs w:val="32"/>
          <w:lang w:eastAsia="zh-CN"/>
          <w14:textFill>
            <w14:solidFill>
              <w14:schemeClr w14:val="tx1"/>
            </w14:solidFill>
          </w14:textFill>
        </w:rPr>
        <w:t>。刑期自二〇二二年十二月二十九日起至二〇二五年十二月二十八日止。于2023年3月16日送我狱服刑改造。</w:t>
      </w:r>
    </w:p>
    <w:p>
      <w:pPr>
        <w:spacing w:line="560" w:lineRule="exact"/>
        <w:ind w:firstLine="640" w:firstLineChars="20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罪</w:t>
      </w:r>
      <w:r>
        <w:rPr>
          <w:rFonts w:hint="eastAsia" w:ascii="仿宋" w:hAnsi="仿宋" w:eastAsia="仿宋"/>
          <w:color w:val="000000" w:themeColor="text1"/>
          <w:sz w:val="32"/>
          <w:szCs w:val="32"/>
          <w:lang w:eastAsia="zh-CN"/>
          <w14:textFill>
            <w14:solidFill>
              <w14:schemeClr w14:val="tx1"/>
            </w14:solidFill>
          </w14:textFill>
        </w:rPr>
        <w:t>犯</w:t>
      </w:r>
      <w:r>
        <w:rPr>
          <w:rFonts w:hint="eastAsia" w:ascii="仿宋" w:hAnsi="仿宋" w:eastAsia="仿宋"/>
          <w:color w:val="000000" w:themeColor="text1"/>
          <w:sz w:val="32"/>
          <w:szCs w:val="32"/>
          <w:lang w:val="en-US" w:eastAsia="zh-CN"/>
          <w14:textFill>
            <w14:solidFill>
              <w14:schemeClr w14:val="tx1"/>
            </w14:solidFill>
          </w14:textFill>
        </w:rPr>
        <w:t>覃磊</w:t>
      </w:r>
      <w:r>
        <w:rPr>
          <w:rFonts w:hint="eastAsia" w:ascii="仿宋" w:hAnsi="仿宋" w:eastAsia="仿宋"/>
          <w:color w:val="000000" w:themeColor="text1"/>
          <w:sz w:val="32"/>
          <w:szCs w:val="32"/>
          <w:lang w:eastAsia="zh-CN"/>
          <w14:textFill>
            <w14:solidFill>
              <w14:schemeClr w14:val="tx1"/>
            </w14:solidFill>
          </w14:textFill>
        </w:rPr>
        <w:t>在服刑期间，认罪悔罪；遵守法律法规及监规，接受教育改造；积极参加思想、文化、职业技术教育；积极参加劳动，</w:t>
      </w:r>
      <w:r>
        <w:rPr>
          <w:rFonts w:hint="eastAsia" w:ascii="仿宋" w:hAnsi="仿宋" w:eastAsia="仿宋"/>
          <w:color w:val="000000" w:themeColor="text1"/>
          <w:sz w:val="32"/>
          <w:szCs w:val="32"/>
          <w:lang w:val="en-US" w:eastAsia="zh-CN"/>
          <w14:textFill>
            <w14:solidFill>
              <w14:schemeClr w14:val="tx1"/>
            </w14:solidFill>
          </w14:textFill>
        </w:rPr>
        <w:t>保质保量</w:t>
      </w:r>
      <w:r>
        <w:rPr>
          <w:rFonts w:hint="eastAsia" w:ascii="仿宋" w:hAnsi="仿宋" w:eastAsia="仿宋"/>
          <w:color w:val="000000" w:themeColor="text1"/>
          <w:sz w:val="32"/>
          <w:szCs w:val="32"/>
          <w:lang w:eastAsia="zh-CN"/>
          <w14:textFill>
            <w14:solidFill>
              <w14:schemeClr w14:val="tx1"/>
            </w14:solidFill>
          </w14:textFill>
        </w:rPr>
        <w:t>完成劳动任务；财产性判项已履行完毕。本次考核期内，</w:t>
      </w:r>
      <w:r>
        <w:rPr>
          <w:rFonts w:hint="eastAsia" w:ascii="仿宋" w:hAnsi="仿宋" w:eastAsia="仿宋"/>
          <w:color w:val="000000" w:themeColor="text1"/>
          <w:sz w:val="32"/>
          <w:szCs w:val="32"/>
          <w:lang w:val="en-US" w:eastAsia="zh-CN"/>
          <w14:textFill>
            <w14:solidFill>
              <w14:schemeClr w14:val="tx1"/>
            </w14:solidFill>
          </w14:textFill>
        </w:rPr>
        <w:t>该犯</w:t>
      </w:r>
      <w:r>
        <w:rPr>
          <w:rFonts w:hint="eastAsia" w:ascii="仿宋" w:hAnsi="仿宋" w:eastAsia="仿宋"/>
          <w:color w:val="000000" w:themeColor="text1"/>
          <w:sz w:val="32"/>
          <w:szCs w:val="32"/>
          <w:lang w:eastAsia="zh-CN"/>
          <w14:textFill>
            <w14:solidFill>
              <w14:schemeClr w14:val="tx1"/>
            </w14:solidFill>
          </w14:textFill>
        </w:rPr>
        <w:t>共计获得表扬二个，悔改表现评定结论为“确有悔改表现”。</w:t>
      </w:r>
    </w:p>
    <w:p>
      <w:pPr>
        <w:spacing w:line="56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综上所述，罪犯覃磊在服刑期间，认罪悔罪，遵规守纪，积极改造，确有悔改表现。该犯已执行原判刑期二分之一以上，再犯风险评估报告结论为一般危险，社区调查评估意见为：</w:t>
      </w:r>
      <w:r>
        <w:rPr>
          <w:rFonts w:hint="eastAsia" w:ascii="仿宋" w:hAnsi="仿宋" w:eastAsia="仿宋"/>
          <w:color w:val="000000" w:themeColor="text1"/>
          <w:sz w:val="32"/>
          <w:szCs w:val="32"/>
          <w:lang w:val="en-US" w:eastAsia="zh-CN"/>
          <w14:textFill>
            <w14:solidFill>
              <w14:schemeClr w14:val="tx1"/>
            </w14:solidFill>
          </w14:textFill>
        </w:rPr>
        <w:t>覃磊假释后社会危害性较小，符合</w:t>
      </w:r>
      <w:r>
        <w:rPr>
          <w:rFonts w:hint="eastAsia" w:ascii="仿宋" w:hAnsi="仿宋" w:eastAsia="仿宋"/>
          <w:color w:val="000000" w:themeColor="text1"/>
          <w:sz w:val="32"/>
          <w:szCs w:val="32"/>
          <w:lang w:eastAsia="zh-CN"/>
          <w14:textFill>
            <w14:solidFill>
              <w14:schemeClr w14:val="tx1"/>
            </w14:solidFill>
          </w14:textFill>
        </w:rPr>
        <w:t>社区矫正</w:t>
      </w:r>
      <w:r>
        <w:rPr>
          <w:rFonts w:hint="eastAsia" w:ascii="仿宋" w:hAnsi="仿宋" w:eastAsia="仿宋"/>
          <w:color w:val="000000" w:themeColor="text1"/>
          <w:sz w:val="32"/>
          <w:szCs w:val="32"/>
          <w:lang w:val="en-US" w:eastAsia="zh-CN"/>
          <w14:textFill>
            <w14:solidFill>
              <w14:schemeClr w14:val="tx1"/>
            </w14:solidFill>
          </w14:textFill>
        </w:rPr>
        <w:t>条件</w:t>
      </w:r>
      <w:r>
        <w:rPr>
          <w:rFonts w:hint="eastAsia" w:ascii="仿宋" w:hAnsi="仿宋" w:eastAsia="仿宋"/>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为此，根据《中华人民共和国监狱法》第三十二条、《中华人民共和国刑法》第八十一条、第八十二条、《中华人民共和国刑事诉讼法》第二百七十三第二款的规定，建议对罪犯覃磊予以假释。特报请裁定。</w:t>
      </w:r>
    </w:p>
    <w:p>
      <w:pPr>
        <w:spacing w:line="560" w:lineRule="exact"/>
        <w:ind w:firstLine="640" w:firstLineChars="20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此致</w:t>
      </w:r>
    </w:p>
    <w:p>
      <w:pPr>
        <w:spacing w:line="560" w:lineRule="exact"/>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四川省广元市中级人民法院</w:t>
      </w:r>
    </w:p>
    <w:p>
      <w:pPr>
        <w:pStyle w:val="3"/>
        <w:spacing w:line="560" w:lineRule="exact"/>
        <w:ind w:left="0" w:leftChars="0" w:right="640"/>
        <w:rPr>
          <w:rFonts w:ascii="仿宋" w:hAnsi="仿宋" w:eastAsia="仿宋"/>
          <w:color w:val="000000" w:themeColor="text1"/>
          <w14:textFill>
            <w14:solidFill>
              <w14:schemeClr w14:val="tx1"/>
            </w14:solidFill>
          </w14:textFill>
        </w:rPr>
      </w:pPr>
    </w:p>
    <w:p>
      <w:pPr>
        <w:pStyle w:val="3"/>
        <w:spacing w:line="560" w:lineRule="exact"/>
        <w:ind w:left="0" w:leftChars="0" w:right="640"/>
        <w:rPr>
          <w:rFonts w:hint="eastAsia" w:ascii="仿宋" w:hAnsi="仿宋" w:eastAsia="仿宋"/>
          <w:color w:val="000000" w:themeColor="text1"/>
          <w14:textFill>
            <w14:solidFill>
              <w14:schemeClr w14:val="tx1"/>
            </w14:solidFill>
          </w14:textFill>
        </w:rPr>
      </w:pPr>
    </w:p>
    <w:p>
      <w:pPr>
        <w:pStyle w:val="3"/>
        <w:spacing w:line="560" w:lineRule="exact"/>
        <w:ind w:left="0" w:leftChars="0"/>
        <w:jc w:val="left"/>
        <w:rPr>
          <w:rFonts w:ascii="仿宋" w:hAnsi="仿宋" w:eastAsia="仿宋"/>
          <w:color w:val="000000" w:themeColor="text1"/>
          <w14:textFill>
            <w14:solidFill>
              <w14:schemeClr w14:val="tx1"/>
            </w14:solidFill>
          </w14:textFill>
        </w:rPr>
      </w:pPr>
    </w:p>
    <w:p>
      <w:pPr>
        <w:pStyle w:val="3"/>
        <w:spacing w:line="560" w:lineRule="exact"/>
        <w:ind w:left="0" w:leftChars="0" w:firstLine="5600" w:firstLineChars="1750"/>
        <w:jc w:val="lef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四川省广元监狱</w:t>
      </w:r>
    </w:p>
    <w:p>
      <w:pPr>
        <w:pStyle w:val="3"/>
        <w:spacing w:line="560" w:lineRule="exact"/>
        <w:ind w:left="0" w:leftChars="0" w:right="840" w:rightChars="400"/>
        <w:jc w:val="right"/>
        <w:rPr>
          <w:rFonts w:hint="eastAsia" w:ascii="仿宋" w:hAnsi="仿宋" w:eastAsia="仿宋"/>
          <w:color w:val="000000" w:themeColor="text1"/>
          <w14:textFill>
            <w14:solidFill>
              <w14:schemeClr w14:val="tx1"/>
            </w14:solidFill>
          </w14:textFill>
        </w:rPr>
      </w:pPr>
      <w:r>
        <w:rPr>
          <w:rFonts w:hint="eastAsia" w:ascii="仿宋" w:hAnsi="仿宋" w:eastAsia="仿宋"/>
        </w:rPr>
        <w:t>20</w:t>
      </w:r>
      <w:r>
        <w:rPr>
          <w:rFonts w:ascii="仿宋" w:hAnsi="仿宋" w:eastAsia="仿宋"/>
        </w:rPr>
        <w:t>2</w:t>
      </w:r>
      <w:r>
        <w:rPr>
          <w:rFonts w:hint="eastAsia" w:ascii="仿宋" w:hAnsi="仿宋" w:eastAsia="仿宋"/>
          <w:lang w:val="en-US" w:eastAsia="zh-CN"/>
        </w:rPr>
        <w:t>4</w:t>
      </w:r>
      <w:r>
        <w:rPr>
          <w:rFonts w:hint="eastAsia" w:ascii="仿宋" w:hAnsi="仿宋" w:eastAsia="仿宋"/>
        </w:rPr>
        <w:t>年</w:t>
      </w:r>
      <w:r>
        <w:rPr>
          <w:rFonts w:hint="eastAsia" w:ascii="仿宋" w:hAnsi="仿宋" w:eastAsia="仿宋"/>
          <w:lang w:val="en-US" w:eastAsia="zh-CN"/>
        </w:rPr>
        <w:t>8</w:t>
      </w:r>
      <w:r>
        <w:rPr>
          <w:rFonts w:hint="eastAsia" w:ascii="仿宋" w:hAnsi="仿宋" w:eastAsia="仿宋"/>
        </w:rPr>
        <w:t>月</w:t>
      </w:r>
      <w:r>
        <w:rPr>
          <w:rFonts w:hint="eastAsia" w:ascii="仿宋" w:hAnsi="仿宋" w:eastAsia="仿宋"/>
          <w:lang w:val="en-US" w:eastAsia="zh-CN"/>
        </w:rPr>
        <w:t>20</w:t>
      </w:r>
      <w:r>
        <w:rPr>
          <w:rFonts w:hint="eastAsia" w:ascii="仿宋" w:hAnsi="仿宋" w:eastAsia="仿宋"/>
        </w:rPr>
        <w:t>日</w:t>
      </w:r>
    </w:p>
    <w:sectPr>
      <w:headerReference r:id="rId3" w:type="default"/>
      <w:type w:val="continuous"/>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7F56B8"/>
    <w:rsid w:val="000377EF"/>
    <w:rsid w:val="000B67A3"/>
    <w:rsid w:val="000F7C0E"/>
    <w:rsid w:val="00103FA5"/>
    <w:rsid w:val="001B3CF5"/>
    <w:rsid w:val="00253C95"/>
    <w:rsid w:val="002904BB"/>
    <w:rsid w:val="002A15E2"/>
    <w:rsid w:val="002A4633"/>
    <w:rsid w:val="002D46C9"/>
    <w:rsid w:val="0031344A"/>
    <w:rsid w:val="00347771"/>
    <w:rsid w:val="00361DEE"/>
    <w:rsid w:val="00371AAD"/>
    <w:rsid w:val="00377524"/>
    <w:rsid w:val="003923D6"/>
    <w:rsid w:val="00393A63"/>
    <w:rsid w:val="00430364"/>
    <w:rsid w:val="004421BB"/>
    <w:rsid w:val="00470C37"/>
    <w:rsid w:val="00476B96"/>
    <w:rsid w:val="004B3C30"/>
    <w:rsid w:val="004C29BF"/>
    <w:rsid w:val="004C778A"/>
    <w:rsid w:val="005032BA"/>
    <w:rsid w:val="00506035"/>
    <w:rsid w:val="0053640C"/>
    <w:rsid w:val="005573AF"/>
    <w:rsid w:val="005659ED"/>
    <w:rsid w:val="005F635D"/>
    <w:rsid w:val="00671A19"/>
    <w:rsid w:val="00710AAF"/>
    <w:rsid w:val="00787D47"/>
    <w:rsid w:val="007D5B67"/>
    <w:rsid w:val="007F147D"/>
    <w:rsid w:val="007F4507"/>
    <w:rsid w:val="00834FC7"/>
    <w:rsid w:val="00844E34"/>
    <w:rsid w:val="0090293C"/>
    <w:rsid w:val="009543D6"/>
    <w:rsid w:val="0096151F"/>
    <w:rsid w:val="009B41B9"/>
    <w:rsid w:val="009B62D1"/>
    <w:rsid w:val="00A53AC1"/>
    <w:rsid w:val="00A77145"/>
    <w:rsid w:val="00B060D1"/>
    <w:rsid w:val="00B06B9E"/>
    <w:rsid w:val="00B50953"/>
    <w:rsid w:val="00B52596"/>
    <w:rsid w:val="00BD7B32"/>
    <w:rsid w:val="00C028B8"/>
    <w:rsid w:val="00C1360E"/>
    <w:rsid w:val="00C91A21"/>
    <w:rsid w:val="00C9246B"/>
    <w:rsid w:val="00CA7865"/>
    <w:rsid w:val="00CB5ABC"/>
    <w:rsid w:val="00CB6F2F"/>
    <w:rsid w:val="00CD15FB"/>
    <w:rsid w:val="00DB0B3D"/>
    <w:rsid w:val="00DD5669"/>
    <w:rsid w:val="00E061A6"/>
    <w:rsid w:val="00E56678"/>
    <w:rsid w:val="00E85106"/>
    <w:rsid w:val="00EE3B71"/>
    <w:rsid w:val="00EF40F6"/>
    <w:rsid w:val="00F07756"/>
    <w:rsid w:val="00FE3A97"/>
    <w:rsid w:val="00FE65D2"/>
    <w:rsid w:val="076A7FFE"/>
    <w:rsid w:val="07925B5E"/>
    <w:rsid w:val="0891083E"/>
    <w:rsid w:val="08EE6BBF"/>
    <w:rsid w:val="0D7F56B8"/>
    <w:rsid w:val="220F49C7"/>
    <w:rsid w:val="240D255D"/>
    <w:rsid w:val="27E46883"/>
    <w:rsid w:val="36E86CC9"/>
    <w:rsid w:val="50A72BDF"/>
    <w:rsid w:val="52D90ECD"/>
    <w:rsid w:val="5BF3088B"/>
    <w:rsid w:val="67C1081F"/>
    <w:rsid w:val="6B336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rPr>
      <w:rFonts w:ascii="宋体" w:hAnsi="宋体"/>
      <w:sz w:val="32"/>
      <w:szCs w:val="32"/>
    </w:rPr>
  </w:style>
  <w:style w:type="paragraph" w:styleId="3">
    <w:name w:val="Closing"/>
    <w:basedOn w:val="1"/>
    <w:link w:val="8"/>
    <w:qFormat/>
    <w:uiPriority w:val="0"/>
    <w:pPr>
      <w:ind w:left="100" w:leftChars="2100"/>
    </w:pPr>
    <w:rPr>
      <w:rFonts w:ascii="宋体" w:hAnsi="宋体"/>
      <w:sz w:val="32"/>
      <w:szCs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结束语 Char"/>
    <w:link w:val="3"/>
    <w:qFormat/>
    <w:uiPriority w:val="0"/>
    <w:rPr>
      <w:rFonts w:ascii="宋体" w:hAnsi="宋体"/>
      <w:kern w:val="2"/>
      <w:sz w:val="32"/>
      <w:szCs w:val="32"/>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803</Words>
  <Characters>845</Characters>
  <Lines>6</Lines>
  <Paragraphs>1</Paragraphs>
  <TotalTime>0</TotalTime>
  <ScaleCrop>false</ScaleCrop>
  <LinksUpToDate>false</LinksUpToDate>
  <CharactersWithSpaces>848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2024-07-04T06:49:00Z</dcterms:created>
  <dc:creator>MyPC</dc:creator>
  <cp:lastModifiedBy>MyPC</cp:lastModifiedBy>
  <cp:lastPrinted>2024-07-25T03:06:00Z</cp:lastPrinted>
  <dcterms:modified xsi:type="dcterms:W3CDTF">2024-08-22T02:33:05Z</dcterms:modified>
  <dc:title>四川省广元监狱</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8A71B1D1EECC449A8E6627B484F5DE48</vt:lpwstr>
  </property>
</Properties>
</file>