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</w:t>
      </w: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  <w:lang w:eastAsia="zh-CN"/>
        </w:rPr>
        <w:t>假释</w:t>
      </w: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635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1992年12月15日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四川省蓬安县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四川省广元市昭化区人民法院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2022年9月15日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作出(2022)川0811刑初2号刑事判决书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犯掩饰、隐瞒犯罪所得罪，判处有期徒刑二年，并处罚金10000元，犯帮助信息网络犯罪活动罪，判处有期徒刑一年十个月，并处罚金10000元，数罪并罚决定执行有期徒刑三年六个月，并处罚金20000元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，继续对被告人违法所得予以追缴（具体为康志波1200元、张宏基600元、张永胜10000元、梁飞5700元、何维10500元）上缴国库。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四川省广元市中级人民法院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2022年11月11日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(2022)川08刑终100号刑事裁定书，准许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上诉人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撤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回上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诉。刑期自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二〇二一年十二月三十日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二〇二五年六月二十九日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2023年2月7日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何维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在服刑期间，认罪悔罪；遵守法律法规及监规，接受教育改造；积极参加思想、文化、职业技术教育；积极参加劳动，努力完成劳动任务；已履行罚金20000元、追缴违法所得10500元。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。该犯已执行原判刑期二分之一以上，再犯风险评估报告结论为一般风险，社区调查评估意见为：适宜社区矫正。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三十二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条、《中华人民共和国刑法》第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八十一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条、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第八十二条、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何维予以假释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2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D7D3951639E04E60BE5AFF3929B827C6</vt:lpwstr>
  </property>
</Properties>
</file>