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6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6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600" w:lineRule="exact"/>
        <w:ind w:firstLineChars="200" w:firstLine="560"/>
        <w:jc w:val="right"/>
        <w:rPr>
          <w:rFonts w:eastAsia="黑体"/>
          <w:sz w:val="28"/>
        </w:rPr>
      </w:pPr>
    </w:p>
    <w:p>
      <w:pPr>
        <w:spacing w:line="60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25</w:t>
      </w:r>
      <w:r>
        <w:rPr>
          <w:rFonts w:ascii="仿宋" w:eastAsia="仿宋" w:hAnsi="仿宋" w:hint="eastAsia"/>
          <w:sz w:val="32"/>
          <w:szCs w:val="32"/>
        </w:rPr>
        <w:t>）省德监减字第</w:t>
      </w:r>
      <w:r>
        <w:rPr>
          <w:rFonts w:ascii="仿宋" w:eastAsia="仿宋" w:hAnsi="仿宋"/>
          <w:sz w:val="32"/>
          <w:szCs w:val="32"/>
        </w:rPr>
        <w:t>403</w:t>
      </w:r>
      <w:r>
        <w:rPr>
          <w:rFonts w:ascii="仿宋" w:eastAsia="仿宋" w:hAnsi="仿宋" w:hint="eastAsia"/>
          <w:sz w:val="32"/>
          <w:szCs w:val="32"/>
        </w:rPr>
        <w:t>号</w:t>
      </w:r>
    </w:p>
    <w:p>
      <w:pPr>
        <w:pStyle w:val="15"/>
        <w:spacing w:line="60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罪犯杨昌尧，男，</w:t>
      </w:r>
      <w:r>
        <w:rPr>
          <w:rFonts w:ascii="仿宋" w:eastAsia="仿宋" w:hAnsi="仿宋"/>
          <w:szCs w:val="32"/>
        </w:rPr>
        <w:t>1963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7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4</w:t>
      </w:r>
      <w:r>
        <w:rPr>
          <w:rFonts w:ascii="仿宋" w:eastAsia="仿宋" w:hAnsi="仿宋" w:hint="eastAsia"/>
          <w:szCs w:val="32"/>
        </w:rPr>
        <w:t>日出生，高中文化。现在四川省德阳监狱医院服刑。</w:t>
      </w:r>
    </w:p>
    <w:p>
      <w:pPr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罪犯杨昌尧在服刑期间，认罪悔罪，遵规守纪，积极改造，</w:t>
      </w:r>
      <w:r>
        <w:rPr>
          <w:rFonts w:ascii="仿宋" w:eastAsia="仿宋" w:cs="仿宋" w:hAnsi="仿宋" w:hint="eastAsia"/>
          <w:sz w:val="32"/>
          <w:szCs w:val="32"/>
        </w:rPr>
        <w:t>且在死刑缓期二年执行考验期内无故意犯罪。</w:t>
      </w:r>
    </w:p>
    <w:p>
      <w:pPr>
        <w:spacing w:line="60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杨昌尧减为无期徒刑，剥夺政治权利终身不变。特报请裁定。</w:t>
      </w:r>
    </w:p>
    <w:p>
      <w:pPr>
        <w:spacing w:line="600" w:lineRule="exact"/>
        <w:ind w:firstLineChars="200" w:firstLine="640"/>
        <w:rPr>
          <w:rFonts w:ascii="仿宋" w:eastAsia="仿宋" w:cs="仿宋_GB2312" w:hAnsi="仿宋"/>
          <w:sz w:val="32"/>
          <w:szCs w:val="32"/>
        </w:rPr>
      </w:pPr>
      <w:r>
        <w:rPr>
          <w:rFonts w:ascii="仿宋" w:eastAsia="仿宋" w:cs="仿宋_GB2312" w:hAnsi="仿宋" w:hint="eastAsia"/>
          <w:sz w:val="32"/>
          <w:szCs w:val="32"/>
        </w:rPr>
        <w:t>此致</w:t>
      </w:r>
    </w:p>
    <w:p>
      <w:pPr>
        <w:spacing w:line="600" w:lineRule="exact"/>
        <w:rPr>
          <w:rFonts w:ascii="仿宋" w:eastAsia="仿宋" w:cs="仿宋_GB2312" w:hAnsi="仿宋"/>
          <w:sz w:val="32"/>
          <w:szCs w:val="32"/>
        </w:rPr>
      </w:pPr>
      <w:r>
        <w:rPr>
          <w:rFonts w:ascii="仿宋" w:eastAsia="仿宋" w:cs="仿宋_GB2312" w:hAnsi="仿宋" w:hint="eastAsia"/>
          <w:sz w:val="32"/>
          <w:szCs w:val="32"/>
        </w:rPr>
        <w:t>四川省高级人民法院</w:t>
      </w:r>
      <w:r>
        <w:rPr>
          <w:rFonts w:ascii="仿宋" w:eastAsia="仿宋" w:cs="仿宋_GB2312" w:hAnsi="仿宋"/>
          <w:sz w:val="32"/>
          <w:szCs w:val="32"/>
        </w:rPr>
        <w:t xml:space="preserve"> </w:t>
      </w:r>
    </w:p>
    <w:p>
      <w:pPr>
        <w:spacing w:line="600" w:lineRule="exact"/>
        <w:rPr>
          <w:rFonts w:ascii="仿宋" w:eastAsia="仿宋" w:cs="仿宋_GB2312" w:hAnsi="仿宋"/>
          <w:sz w:val="32"/>
          <w:szCs w:val="32"/>
        </w:rPr>
      </w:pPr>
    </w:p>
    <w:p>
      <w:pPr>
        <w:spacing w:line="600" w:lineRule="exact"/>
        <w:rPr>
          <w:rFonts w:ascii="仿宋" w:eastAsia="仿宋" w:cs="仿宋_GB2312" w:hAnsi="仿宋"/>
          <w:sz w:val="32"/>
          <w:szCs w:val="32"/>
        </w:rPr>
      </w:pPr>
    </w:p>
    <w:p>
      <w:pPr>
        <w:wordWrap w:val="0"/>
        <w:spacing w:line="600" w:lineRule="exact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</w:t>
      </w:r>
      <w:r>
        <w:rPr>
          <w:rFonts w:ascii="仿宋" w:eastAsia="仿宋" w:cs="仿宋" w:hAnsi="仿宋"/>
          <w:sz w:val="32"/>
          <w:szCs w:val="32"/>
        </w:rPr>
        <w:t>川省德阳监狱</w:t>
      </w:r>
    </w:p>
    <w:p>
      <w:pPr>
        <w:spacing w:line="600" w:lineRule="exact"/>
        <w:ind w:left="-56" w:firstLineChars="200" w:firstLine="640"/>
        <w:jc w:val="center"/>
        <w:rPr>
          <w:rFonts w:ascii="仿宋" w:eastAsia="仿宋" w:cs="仿宋_GB2312" w:hAnsi="仿宋"/>
          <w:sz w:val="32"/>
          <w:szCs w:val="32"/>
        </w:rPr>
      </w:pPr>
      <w:r>
        <w:rPr>
          <w:rFonts w:ascii="仿宋" w:eastAsia="仿宋" w:cs="仿宋_GB2312" w:hAnsi="仿宋"/>
          <w:sz w:val="32"/>
          <w:szCs w:val="32"/>
        </w:rPr>
        <w:t xml:space="preserve">                                  2025年8月1日</w:t>
      </w:r>
    </w:p>
    <w:p/>
    <w:p>
      <w:pPr>
        <w:rPr>
          <w:rFonts w:ascii="仿宋" w:eastAsia="仿宋" w:hAnsi="仿宋"/>
          <w:color w:val="FF0000"/>
          <w:sz w:val="32"/>
          <w:szCs w:val="32"/>
        </w:rPr>
      </w:pPr>
    </w:p>
    <w:p>
      <w:pPr>
        <w:rPr>
          <w:rFonts w:ascii="仿宋" w:eastAsia="仿宋" w:hAnsi="仿宋"/>
          <w:color w:val="FF0000"/>
          <w:sz w:val="32"/>
          <w:szCs w:val="32"/>
        </w:rPr>
      </w:pPr>
    </w:p>
    <w:p>
      <w:pPr>
        <w:rPr>
          <w:rFonts w:ascii="仿宋" w:eastAsia="仿宋" w:hAnsi="仿宋"/>
          <w:color w:val="FF0000"/>
          <w:sz w:val="32"/>
          <w:szCs w:val="32"/>
        </w:rPr>
      </w:pPr>
      <w:bookmarkStart w:id="0" w:name="_GoBack"/>
      <w:bookmarkEnd w:id="0"/>
    </w:p>
    <w:p>
      <w:pPr>
        <w:rPr>
          <w:rFonts w:ascii="仿宋" w:eastAsia="仿宋" w:hAnsi="仿宋"/>
          <w:color w:val="FF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Yozo_Office27021597764231179</Application>
  <Pages>1</Pages>
  <Words>0</Words>
  <Characters>234</Characters>
  <Lines>0</Lines>
  <Paragraphs>19</Paragraphs>
  <CharactersWithSpaces>313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