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 xml:space="preserve">报  请  </w:t>
      </w:r>
      <w:r>
        <w:rPr>
          <w:rFonts w:ascii="黑体" w:eastAsia="黑体" w:cs="黑体" w:hAnsi="黑体"/>
          <w:bCs/>
          <w:sz w:val="44"/>
          <w:szCs w:val="44"/>
        </w:rPr>
        <w:t>假  释</w:t>
      </w:r>
      <w:r>
        <w:rPr>
          <w:rFonts w:ascii="黑体" w:eastAsia="黑体" w:cs="黑体" w:hAnsi="黑体" w:hint="eastAsia"/>
          <w:bCs/>
          <w:sz w:val="44"/>
          <w:szCs w:val="44"/>
        </w:rPr>
        <w:t xml:space="preserve"> </w:t>
      </w:r>
      <w:r>
        <w:rPr>
          <w:rFonts w:ascii="黑体" w:eastAsia="黑体" w:cs="黑体" w:hAnsi="黑体"/>
          <w:bCs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bCs/>
          <w:sz w:val="44"/>
          <w:szCs w:val="44"/>
        </w:rPr>
        <w:t>建  议  书</w:t>
      </w:r>
    </w:p>
    <w:p>
      <w:pPr>
        <w:spacing w:line="560" w:lineRule="atLeast"/>
        <w:ind w:firstLineChars="200" w:firstLine="640"/>
        <w:jc w:val="center"/>
        <w:rPr>
          <w:rFonts w:ascii="黑体" w:eastAsia="黑体" w:cs="仿宋" w:hAnsi="黑体"/>
          <w:b/>
          <w:sz w:val="32"/>
          <w:szCs w:val="32"/>
        </w:rPr>
      </w:pPr>
    </w:p>
    <w:p>
      <w:pPr>
        <w:spacing w:line="56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</w:t>
      </w:r>
      <w:r>
        <w:rPr>
          <w:rFonts w:ascii="仿宋" w:eastAsia="仿宋" w:cs="仿宋" w:hAnsi="仿宋"/>
          <w:sz w:val="32"/>
          <w:szCs w:val="32"/>
        </w:rPr>
        <w:t>假</w:t>
      </w:r>
      <w:r>
        <w:rPr>
          <w:rFonts w:ascii="仿宋" w:eastAsia="仿宋" w:cs="仿宋" w:hAnsi="仿宋" w:hint="eastAsia"/>
          <w:sz w:val="32"/>
          <w:szCs w:val="32"/>
        </w:rPr>
        <w:t>字第</w:t>
      </w:r>
      <w:r>
        <w:rPr>
          <w:rFonts w:ascii="仿宋" w:eastAsia="仿宋" w:cs="仿宋" w:hAnsi="仿宋"/>
          <w:sz w:val="32"/>
          <w:szCs w:val="32"/>
        </w:rPr>
        <w:t>11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atLeast"/>
        <w:ind w:left="-56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罪犯张嘉乐，男，19</w:t>
      </w:r>
      <w:r>
        <w:rPr>
          <w:rFonts w:ascii="仿宋" w:eastAsia="仿宋" w:cs="仿宋" w:hAnsi="仿宋"/>
          <w:sz w:val="32"/>
          <w:szCs w:val="32"/>
        </w:rPr>
        <w:t>91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26</w:t>
      </w:r>
      <w:r>
        <w:rPr>
          <w:rFonts w:ascii="仿宋" w:eastAsia="仿宋" w:cs="仿宋" w:hAnsi="仿宋" w:hint="eastAsia"/>
          <w:sz w:val="32"/>
          <w:szCs w:val="32"/>
        </w:rPr>
        <w:t>日出生，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大专文化。现在四川省德阳监狱一监区服刑。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罪犯张嘉乐在服刑期间，认罪悔罪，遵规守纪，积极改造，确有悔改表现。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张嘉乐</w:t>
      </w:r>
      <w:r>
        <w:rPr>
          <w:rFonts w:ascii="仿宋" w:eastAsia="仿宋" w:cs="仿宋" w:hAnsi="仿宋" w:hint="eastAsia"/>
          <w:sz w:val="32"/>
          <w:szCs w:val="32"/>
        </w:rPr>
        <w:t>予以假释。特报请裁定。</w:t>
      </w:r>
    </w:p>
    <w:p>
      <w:pPr>
        <w:spacing w:line="560" w:lineRule="atLeast"/>
        <w:ind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60" w:lineRule="atLeas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四川省德阳市中级人民法院</w:t>
      </w:r>
    </w:p>
    <w:p>
      <w:pPr>
        <w:spacing w:line="560" w:lineRule="atLeas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atLeas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atLeast"/>
        <w:ind w:left="-56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四川省德阳监狱</w:t>
      </w:r>
    </w:p>
    <w:p>
      <w:pPr>
        <w:spacing w:line="560" w:lineRule="atLeast"/>
        <w:ind w:left="-56" w:right="320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2025年</w:t>
      </w:r>
      <w:r>
        <w:rPr>
          <w:rFonts w:ascii="仿宋" w:eastAsia="仿宋" w:cs="仿宋" w:hAnsi="仿宋"/>
          <w:color w:val="000000"/>
          <w:sz w:val="32"/>
          <w:szCs w:val="32"/>
        </w:rPr>
        <w:t>12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>
      <w:pPr>
        <w:widowControl/>
        <w:jc w:val="left"/>
        <w:rPr>
          <w:rFonts w:ascii="黑体" w:eastAsia="黑体" w:cs="黑体" w:hAnsi="黑体"/>
          <w:bCs/>
          <w:color w:val="FF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252</Characters>
  <Lines>0</Lines>
  <Paragraphs>15</Paragraphs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2025-12-09T08:01:33Z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