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罪犯马刚,男,1977年3月13日出生,汉族,初中文化,原户籍所在地：四川省资阳市雁江区。现在四川省崇州监狱五监区服刑。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犯非法持有毒品罪于2018年4月2日被四川省资阳市雁江区人民法院判处有期徒刑一年八个月，并处罚金五千元，2019年12月1日刑满释放。因吸食毒品于2017年被强制戒毒二年；因吸食毒品于2017年9月12日被行政拘留十五日。四川省资阳市雁江区人民法院于2021年5月28日作出(2021)川2002刑初82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，以被告人马刚犯贩卖毒品罪，判处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有期徒刑十五年</w:t>
      </w:r>
      <w:r>
        <w:rPr>
          <w:rFonts w:hint="eastAsia" w:ascii="仿宋" w:hAnsi="仿宋" w:eastAsia="仿宋"/>
          <w:spacing w:val="-10"/>
          <w:sz w:val="32"/>
          <w:szCs w:val="32"/>
        </w:rPr>
        <w:t>，并处没收财产三万元、追缴被告人的毒资1100元，上缴国库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被告人马刚不服判决提起上诉，四川省资阳市中级人民法院于2021年8月30日作出（2021）川20刑终54号刑事裁定书，驳回上诉，维持原判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刑期自2020年12月2日起至2035年12月1日止。于2021年9月23日送我狱执行刑罚。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另查明，罪犯马刚被判处没收财产三万元、追缴被告人的毒资1100元，上缴国库，已履行完毕。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本考核期内，该犯共获得表扬5个，悔改表现评定结论为确有悔改表现。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，罪犯在服刑期间，认罪服法，遵规守纪，积极改造，确有悔改表现。该犯系累犯、毒品再犯，已依法从严。该犯涉及毒品犯罪、有犯罪前科、多种从严情形，已扣减幅度三个月。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建议对罪犯马刚减刑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r>
        <w:rPr>
          <w:rFonts w:hint="eastAsia" w:ascii="仿宋" w:hAnsi="仿宋" w:eastAsia="仿宋"/>
          <w:sz w:val="32"/>
          <w:szCs w:val="32"/>
        </w:rPr>
        <w:t>附：罪犯马刚减刑材料一卷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7E"/>
    <w:rsid w:val="0002027E"/>
    <w:rsid w:val="00061BCB"/>
    <w:rsid w:val="002663E2"/>
    <w:rsid w:val="00416F79"/>
    <w:rsid w:val="00850FE5"/>
    <w:rsid w:val="009B62B2"/>
    <w:rsid w:val="02572C0B"/>
    <w:rsid w:val="0E9E2963"/>
    <w:rsid w:val="18731606"/>
    <w:rsid w:val="2C6660E0"/>
    <w:rsid w:val="2ED31EE4"/>
    <w:rsid w:val="4F3B61C9"/>
    <w:rsid w:val="6F7F8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804</Characters>
  <Lines>6</Lines>
  <Paragraphs>1</Paragraphs>
  <TotalTime>0</TotalTime>
  <ScaleCrop>false</ScaleCrop>
  <LinksUpToDate>false</LinksUpToDate>
  <CharactersWithSpaces>943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2024-08-06T14:56:00Z</dcterms:created>
  <dc:creator>Administrator</dc:creator>
  <cp:lastModifiedBy>lenovo</cp:lastModifiedBy>
  <dcterms:modified xsi:type="dcterms:W3CDTF">2025-02-11T08:41:41Z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51FEAED4FFFA98FC9088C1666D512845</vt:lpwstr>
  </property>
</Properties>
</file>