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140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罪犯洪浩,男,2002年8月9日出生,汉族,中专文化,原户籍所在地：四川省阿坝藏族羌族自治州九寨沟县。现在四川省崇州监狱五监区服刑。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四川省都江堰市人民法院于2021年4月16日作出(2021)川0181刑初58号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，以被告人洪浩犯强奸罪，判处有期徒刑十三年六个月，犯寻衅滋事罪，判处有期徒刑一年八个月，犯聚众斗殴罪，判处有期徒刑八个月，合并，决定执行</w:t>
      </w:r>
      <w:r>
        <w:rPr>
          <w:rFonts w:hint="eastAsia" w:ascii="仿宋" w:hAnsi="仿宋" w:eastAsia="仿宋"/>
          <w:color w:val="000000"/>
          <w:sz w:val="32"/>
          <w:szCs w:val="32"/>
        </w:rPr>
        <w:t>有期徒刑十五年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。被告人洪浩同案</w:t>
      </w:r>
      <w:r>
        <w:rPr>
          <w:rFonts w:hint="eastAsia" w:ascii="仿宋" w:hAnsi="仿宋" w:eastAsia="仿宋"/>
          <w:sz w:val="32"/>
          <w:szCs w:val="32"/>
        </w:rPr>
        <w:t>不服判决提起上诉，四川省成都市中级人民法院于2021年6月30日作出（2021）川01刑终474号刑事裁定书，准许上诉人王梓铭、唐坤撤回上诉，刑期自2020年8月17日起至2035年8月16日止。于2021年8月19日送我狱执行刑罚。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本考核期内，该犯共获得表扬4个，悔改表现评定结论为确有悔改表现。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，罪犯在服刑期间，认罪服法，遵规守纪，积极改造，确有悔改表现。该犯系暴力犯罪判处十年以上有期徒刑，已依法从严。该犯有吸毒史、多种罪名，扣减幅度二个月。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建议对罪犯洪浩减刑</w:t>
      </w:r>
      <w:r>
        <w:rPr>
          <w:rFonts w:hint="eastAsia" w:ascii="仿宋" w:hAnsi="仿宋" w:eastAsia="仿宋"/>
          <w:color w:val="000000"/>
          <w:sz w:val="32"/>
          <w:szCs w:val="32"/>
        </w:rPr>
        <w:t>四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r>
        <w:rPr>
          <w:rFonts w:hint="eastAsia" w:ascii="仿宋" w:hAnsi="仿宋" w:eastAsia="仿宋"/>
          <w:sz w:val="32"/>
          <w:szCs w:val="32"/>
        </w:rPr>
        <w:t>附：罪犯洪浩减刑材料一卷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F3"/>
    <w:rsid w:val="00072189"/>
    <w:rsid w:val="00091A31"/>
    <w:rsid w:val="00092DC5"/>
    <w:rsid w:val="00A85F0B"/>
    <w:rsid w:val="00AE4AB9"/>
    <w:rsid w:val="00E948F3"/>
    <w:rsid w:val="06C51B03"/>
    <w:rsid w:val="13DEFA09"/>
    <w:rsid w:val="45F63E9B"/>
    <w:rsid w:val="66AD2AA6"/>
    <w:rsid w:val="69E109DF"/>
    <w:rsid w:val="745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CZJY</dc:creator>
  <cp:lastModifiedBy>lenovo</cp:lastModifiedBy>
  <dcterms:modified xsi:type="dcterms:W3CDTF">2025-02-08T07:22:39Z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F025FEF6231BC1D4D282C1661CE0DED3</vt:lpwstr>
  </property>
</Properties>
</file>