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询价</w:t>
      </w:r>
      <w:r>
        <w:rPr>
          <w:rFonts w:hint="eastAsia" w:ascii="黑体" w:hAnsi="黑体" w:eastAsia="黑体" w:cs="黑体"/>
          <w:b/>
          <w:sz w:val="44"/>
          <w:szCs w:val="44"/>
        </w:rPr>
        <w:t>公告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服务商</w:t>
      </w:r>
      <w:r>
        <w:rPr>
          <w:rFonts w:hint="eastAsia" w:ascii="仿宋" w:hAnsi="仿宋" w:eastAsia="仿宋"/>
          <w:sz w:val="32"/>
          <w:szCs w:val="32"/>
        </w:rPr>
        <w:t>参与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一、采购项目基本情况：</w:t>
      </w:r>
    </w:p>
    <w:p>
      <w:pPr>
        <w:numPr>
          <w:ilvl w:val="0"/>
          <w:numId w:val="0"/>
        </w:numPr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20250918。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川西监狱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2025-2028年罪犯亲情电话服务商采购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（三）采购人：四川省川西监狱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服务费控制价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48000.00</w:t>
      </w:r>
      <w:r>
        <w:rPr>
          <w:rFonts w:hint="eastAsia" w:ascii="仿宋" w:hAnsi="仿宋" w:eastAsia="仿宋"/>
          <w:sz w:val="32"/>
          <w:szCs w:val="32"/>
          <w:lang w:eastAsia="zh-CN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三、采购项目简介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：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为了保证罪犯亲情电话正常运行</w:t>
      </w:r>
      <w:r>
        <w:rPr>
          <w:rFonts w:hint="eastAsia" w:ascii="仿宋" w:hAnsi="仿宋" w:eastAsia="仿宋"/>
          <w:sz w:val="32"/>
          <w:lang w:eastAsia="zh-CN"/>
        </w:rPr>
        <w:t>，需确定一家罪犯亲情电话服务商，通信资费方式采用月套餐制，并对亲情电话系统进行维护服务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spacing w:after="12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四、服务期限：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一采三年，合同一年一签。</w:t>
      </w:r>
    </w:p>
    <w:p>
      <w:pPr>
        <w:snapToGrid w:val="0"/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b/>
          <w:bCs/>
          <w:sz w:val="32"/>
          <w:szCs w:val="32"/>
        </w:rPr>
        <w:t>、采购方式：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采购</w:t>
      </w:r>
    </w:p>
    <w:p>
      <w:pPr>
        <w:snapToGrid w:val="0"/>
        <w:spacing w:line="600" w:lineRule="exact"/>
        <w:ind w:firstLine="643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询价通知书发出及获取方式：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2025年9月30日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</w:t>
      </w:r>
    </w:p>
    <w:p>
      <w:pPr>
        <w:snapToGrid w:val="0"/>
        <w:spacing w:line="60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七、</w:t>
      </w:r>
      <w:r>
        <w:rPr>
          <w:rFonts w:hint="eastAsia" w:ascii="仿宋" w:hAnsi="仿宋" w:eastAsia="仿宋"/>
          <w:b/>
          <w:bCs/>
          <w:sz w:val="32"/>
          <w:szCs w:val="32"/>
        </w:rPr>
        <w:t>商务要求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（一）服务要求：</w:t>
      </w:r>
    </w:p>
    <w:p>
      <w:pPr>
        <w:pStyle w:val="2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1.罪犯亲情电话服务需求</w:t>
      </w:r>
    </w:p>
    <w:tbl>
      <w:tblPr>
        <w:tblStyle w:val="36"/>
        <w:tblW w:w="9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"/>
        <w:gridCol w:w="732"/>
        <w:gridCol w:w="7233"/>
        <w:gridCol w:w="240"/>
        <w:gridCol w:w="240"/>
        <w:gridCol w:w="264"/>
        <w:gridCol w:w="108"/>
        <w:gridCol w:w="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02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罪犯亲情电话需求服务清单</w:t>
            </w: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一、硬件部分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4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数字中继服务平台维护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（1）定期检查数字中继服务平台的硬件运行状态，包括接口连接稳定性、电源供电情况、设备散热状况等，确保无硬件故障风险。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（2）维护平台网络功能，测试数据传输速率与稳定性，排查网络拥堵、中断等问题，保障与其他设备（如亲情电话专用服务器、语音呼叫系统）的数据交互正常。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（3）检查双电源切换功能，模拟电源故障场景，验证 1+1 热备切换是否顺畅，确保在单一电源故障时平台仍能正常运行，避免服务中断。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定期对平台软件进行漏洞扫描与版本更新，修复潜在安全隐患，保障平台抗干扰能力与数据安全性，防止数据泄露或被恶意攻击。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程控交换机维护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（1）针对数字语音程控交换机，定期检测电源模块输出电压稳定性，避免因电压异常导致设备故障。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（2）清洁交换机内部灰尘，检查设备散热情况，避免因灰尘堆积、散热不良导致设备过热损坏；同时，验证设备上机柜安装的稳固性，防止因震动影响设备运行。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电话光端机检修维护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（1）对电话光端机进行定期检修，检查光端机输入输出接口的清洁度与连接稳定性，清理接口灰尘，确保光纤与光端机对接良好，无信号衰减或中断问题。                                                               （2）测试光端机语音传输质量，通过拨打测试电话，监听语音清晰度，检测是否存在杂音、卡顿等问题，排查光纤链路故障（如光纤断裂、损耗过大），并及时更换损坏的光纤或光端机部件。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（3）检查光端机电源供电情况，确保电源电压稳定，测试电源模块运行温度，避免因电源故障导致光端机停机；同时，备份光端机配置参数，防止因设备故障需更换时配置丢失，保障快速恢复服务。</w:t>
            </w:r>
          </w:p>
        </w:tc>
        <w:tc>
          <w:tcPr>
            <w:tcW w:w="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988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设备服务区检修维护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（1）明确设备服务区涵盖范围（包括数字中继服务平台、程控交换机、电话光端机、亲情电话专用服务器、网络交换机、NVR 录像机等设备集中区域），定期对服务区环境进行检查，确保环境温度（18-25℃）、湿度（40%-60%）符合设备运行要求，若环境参数异常，及时调整空调、除湿设备运行状态。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（2）检查服务区供电系统，包括配电箱、线路连接、接地装置等，测试电压稳定性，排查线路老化、短路、漏电等安全隐患，确保为所有设备提供稳定、安全的电力支持。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务区网络布线，整理桥架内、管内的线材，检查线材外皮是否破损、标识是否清晰，修复松动的线路连接，避免因线路杂乱或破损导致设备通信故障；同时，检查线槽、管道的稳固性，防止因线槽脱落损坏设备或线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（4）定期清洁服务区设备表面与周边环境灰尘，清理设备散热口杂物，保障设备散热通畅；建立设备运行台账，记录各设备检修时间、故障情况、维护措施等，便于后续追溯与管理。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二、软件部分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内容描述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54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智能管理系统软件维护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智能管理系统（涵盖平台端亲情卡管理、亲情电话管理、计费管理、系统管理等功能，客户端用户资料查询、通话监听、呼叫控制等功能，录音端录音管理等功能），定期对软件运行环境（服务器操作系统、数据库、网络配置）进行检查，优化系统参数，提升软件运行速度，避免因环境问题导致软件卡顿、崩溃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软件功能模块，测试各功能子项（如卡号生成、亲属信息管理、通话时长控制、录音查询、审批流程等）是否正常运行，排查功能漏洞（如数据统计错误、权限分配异常），及时修复问题，确保软件满足业务需求（如服刑人员亲情电话拨打、民警监控管理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保障系统数据安全，定期备份数据库（包括人员信息、通话记录、录音数据、计费数据等），加密备份文件，防止数据丢失或泄露；同时，设置数据访问权限，禁止未授权人员修改、删除关键数据，确保数据完整性与安全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根据用户需求（如监狱监管制度调整），对软件功能进行小幅优化与调整（如新增审批节点、修改通话次数限制规则），并对使用人员（民警）进行软件操作培训与技术支持，解答操作疑问，确保人员能熟练使用软件开展工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2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对录音系统软件（支持全程自动录音、录音与人员信息关联、录音查询、复听、备份、删除等功能）进行维护，检查录音启动机制，确保通话开始时录音功能自动启用，无漏录、错录情况；验证录音与通话双方信息（服刑人员信息、家属信息、通话时间、通话时长等）的关联准确性，便于后续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（2）维护录音存储功能，检查磁盘空间使用情况，确保录音保存时间≥12 个月，当磁盘空间不足时，触发自动备份（备份至指定目录）与自动删除（删除超过保留时间的录音）机制，防止因磁盘满导致录音无法存储；同时，测试录音压缩技术的有效性，确保录音文件占用磁盘空间合理，不浪费存储资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优化录音查询与复听功能，测试按监区、姓名、卡号、时间等多种条件组合查询录音的准确性与速度，排查查询结果缺失、查询缓慢等问题；检查复听功能的语音清晰度，确保复听时无杂音、卡顿，同时维护复听标记、复听率统计功能，确保数据记录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录音数据安全，设置录音下载、删除权限（仅授权人员可操作），防止录音数据被非法获取或篡改；定期测试录音备份文件的完整性与可恢复性，确保在系统故障时能通过备份文件恢复录音数据，避免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660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语音呼叫系统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（1）维护语音呼叫系统通话拨打限制、特批号码管理、监听管理平台申报审核、通话计次有效时长设置≤15 秒、额外次数每月清零、批量 / 单个通话授权、重点监控标记、话机 / 计算机双方式监控、通话记录查询等功能），定期测试自动语音导航功能，检查导航语音清晰度、流程逻辑性，确保能准确引导服刑人员拨打亲情电话，修复导航流程混乱、语音失真等问题。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（2）验证系统架构兼容性，测试 B/S 架构（网页端）与 C/S 架构（客户端）的切换与协同运行能力，检查不同应用场景（如民警在办公室通过网页端管理、在监控室通过客户端监听）下系统的稳定性，排查架构冲突导致的功能异常。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（3）维护通话控制功能，测试通话拨打限制（监管级别、通话次数、时间、时长、亲情号码数量限制）是否生效，验证特批号码管理流程（设置、次数限制、记录特批人 / 原因、次数用完作废）的准确性，检查监听管理平台申报与监管端审核的数据溯源功能，确保每笔操作可追溯。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通话记录查询功能，测试按多种条件（如时间、人员编号、亲情号码）组合查询的准确性与速度，排查查询结果缺失、重复等问题；同时，定期备份通话记录数据，保障数据安全性，修复软件漏洞，提升系统抗攻击能力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77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亲情号码管理模块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（1）维护亲情号码管理模块（支持新建 / 修改 / 删除人员信息，人员信息含编号、姓名、监区号、级别、重点监控标志、IC 卡号、绑定语音卡、备注，亲情号码设置、自定义列、特批号码管理，缩位拨号、免 0 拨号、自动校对等功能），检查人员信息管理功能，测试新建、修改、删除人员信息的操作准确性，确保数据保存与更新及时，排查信息录入错误、数据同步延迟等问题。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（2）验证亲情号码管理功能，测试亲情号码设置、自定义列配置的灵活性，检查缩位拨号、免 0 拨号的使用便捷性，确保服刑人员能快速拨打亲情号码；测试自动校对功能，确保未审核的号码无法拨出，保障号码使用合规性。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特批号码管理功能，检查特批号码的添加、次数设置、使用记录统计功能，确保特批号码仅在授权范围内使用，次数用完后自动作废，同时记录特批人、特批原因，便于监管追溯；排查特批号码管理漏洞（如超次数使用、未记录原因），及时修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模块与其他系统（如狱政系统、语音呼叫系统）的数据同步，测试人员信息、亲情号码数据的同步时效性与准确性，避免因数据不同步导致号码无法拨打或管理混乱；定期备份模块数据，防止数据丢失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统计报表管理模块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针对统计报表管理模块（支持组合查询亲情语音记录，生成话务统计报表、通话峰值统计报表、话费峰值统计报表、人员统计报表等），定期测试报表生成功能，检查各类型报表（话务量、通话峰值、话费峰值、人员通话情况）的数据准确性，对比原始通话记录、计费数据，排查报表统计错误（如数据遗漏、计算偏差），确保报表能真实反映业务情况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（2）优化查询与筛选功能，测试按多种条件（如时间范围、监区、人员级别、亲情号码）组合查询的灵活性与速度，修复查询卡顿、筛选条件无效等问题，确保用户（民警、管理员）能快速获取所需数据。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（3）维护报表导出与展示功能，测试报表导出格式（如 Excel、PDF）的兼容性，确保导出文件无格式错乱、数据丢失；检查报表可视化展示（如柱状图、折线图）的清晰度与逻辑性，便于用户直观分析数据（如通话峰值时段、高话费人员）。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（4）定期清理模块冗余数据，优化数据库性能，提升报表生成与查询速度；同时，根据用户需求（如新增统计维度、调整报表格式）对模块功能进行小幅优化，提供技术支持，解答用户在报表使用中的疑问。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9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数据集成与基础信息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数据集成功能，确保人员数据（服刑人员、民警）、亲属数据能从狱政系统、一卡通系统等自动同步，定期测试数据同步频率与准确性，排查同步延迟、数据缺失（如服刑人员处遇等级、亲属关系信息）、格式不兼容等问题，确保同步后的数据准确无误，为其他模块（如亲情号码管理、语音呼叫系统）提供基础数据支持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查民警信息管理，验证民警信息（姓名、编号、所属部门、权限）的准确性，确保民警能正常登录系统并行使对应权限（如监听、审批），修复民警信息错误导致的权限异常问题；同时，维护监区设置数据，确保监区划分、人员归属准确，支持分区管理与人员调动审批流程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（3）维护服刑人员信息，包括编号、姓名、监区号、处遇等级、重点监控标志、IC 卡号等，检查信息更新及时性（如处遇等级调整后是否同步至相关模块），确保语音呼叫系统、亲情号码管理模块能根据最新信息执行通话限制、授权等操作；排查服刑人员信息错误导致的功能故障（如重点监控人员未被标记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保障数据集成安全性，设置数据同步权限，仅授权系统可访问源数据（狱政系统、一卡通系统），防止数据泄露；定期审计数据同步日志，记录同步时间、数据量、异常情况，便于追溯与排查问题，确保数据集成过程合规、安全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3032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角色权限管理模块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（1）维护角色权限管理模块（支持角色设置、查询、功能设置、移除用户，角色权限设置、功能权限设置、移除 / 查询角色权限，初始化超级管理权限，对不同用户设置导入、号码编辑、次数审批、录音下载等权限），检查角色创建与管理功能，测试角色设置的灵活性，确保能根据监狱监管制度创建不同角色（如超级管理员、监区民警、审核人员），并为角色分配对应功能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（2）验证权限分配准确性，测试不同用户（如监区民警仅拥有通话监听、次数审批权限，无录音下载权限）的权限边界，排查权限越界问题（如普通用户可修改超级管理员权限），确保权限分配符合 “最小必要” 原则，防止未授权操作。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（3）维护用户与角色关联功能，测试用户添加至角色、从角色移除的操作准确性，确保用户权限随角色变动实时更新；检查权限生效时效性，避免因权限更新延迟导致用户无法正常操作或拥有多余权限。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初始化与备份超级管理权限，确保超级管理员能全面管理系统角色与权限，同时定期备份角色权限配置数据，防止因配置丢失导致权限管理混乱；修复模块软件漏洞，提升权限管理安全性，防止权限被恶意篡改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17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计费系统软件维护</w:t>
            </w:r>
          </w:p>
        </w:tc>
        <w:tc>
          <w:tcPr>
            <w:tcW w:w="7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计费系统（支持费率设置、话费充值、话费查询、自动扣费、记录查询等功能），检查费率配置的准确性，验证不同类型电话号码（如本地号码、长途号码）、不同时段（如节假日、工作日）的费率计算是否正确，避免因费率错误导致计费偏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测试话费充值功能，模拟个别充值、批量充值场景，检查充值金额是否实时到账，充值记录是否完整生成（包含充值时间、充值金额、充值人员、被充值人员编号等信息），排查充值失败、重复充值等问题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自动扣费功能，验证通话结束后系统是否根据通话时长、费率自动计算并扣除相应话费，检查扣费记录与通话记录的关联性，确保扣费金额准确无误；同时，测试余额不足提醒功能，确保当用户话费余额低于设定阈值时，系统能及时发出提醒（如话机提示、软件通知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（4）优化计费数据统计功能，检查话费明细查询、各队别 / 人员话费列表生成的准确性与时效性，修复数据统计错误（如漏计、多计话费），保障计费数据可溯源，满足监狱对账与监管需求。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5" w:hRule="atLeast"/>
        </w:trPr>
        <w:tc>
          <w:tcPr>
            <w:tcW w:w="85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三、其他部分（线路、通讯费及应急维保）</w:t>
            </w:r>
          </w:p>
        </w:tc>
        <w:tc>
          <w:tcPr>
            <w:tcW w:w="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295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CTBUS总线、通信网关、语音IDA等设备维护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（1）维护 CTBUS 总线，检查总线与程控交换机、内线模块等设备的连接稳定性，测试总线数据传输速率与抗干扰能力，排查总线信号衰减、传输延迟等问题，确保总线能高效传输语音与控制信号，保障设备间协同运行。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通信网关，测试网关与外部网络（如通讯运营商网络）、内部设备（如亲情电话专用服务器）的通信连接，排查网关地址配置错误、端口占用等问题，确保数据在不同网络间的转换与传输正常，无数据丢失或格式错误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（3）维护语音 IDA 设备，检查设备硬件运行状态，测试语音信号采集与处理功能，验证语音数据格式（如 CCIIT A/μlaw 64Kbps、IMA ADPCM 32Kbps）转换是否准确，确保语音信号在传输与存储过程中质量无损耗；同时，定期对设备软件进行维护，修复软件漏洞，保障设备运行稳定性。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（4）定期对 CTBUS 总线、通信网关、语音 IDA 设备进行联合调试，模拟亲情电话拨打、录音、数据上传等全流程，排查各设备间数据交互的兼容性问题，确保整个系统运行顺畅，无功能故障。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542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每月日常检修服务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（1）每月开展 2 次全系统日常检修，制定检修计划，明确每次检修的设备范围（数字中继服务平台、程控交换机、电话光端机、亲情电话专用服务器、亲情语音单元、监听语音单元、语音呼叫系统等）与功能模块（通话功能、录音功能、计费功能、数据对接功能等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检修设备硬件：检查各设备电源指示灯、运行指示灯状态，测试设备按键（如亲情语音单元、监听语音单元的按键）是否灵敏，排查设备外壳破损、线路松动等问题，对轻微故障（如接口松动）现场修复，严重故障（如硬件损坏）记录并制定维修方案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功能：模拟服刑人员拨打亲情电话全流程（刷卡验证、拨号、通话、挂断），检查语音呼叫系统自动导航功能、通话限制功能（如通话次数、时长限制）是否正常；测试录音系统是否实时录音，计费系统是否自动扣费；验证数据集成功能（如与狱政系统、一卡通系统的数据同步）是否正常，确保数据更新及时、准确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（4）生成检修报告：每次检修后，记录设备运行状态、发现的问题、处理措施（已修复 / 待修复），统计故障发生率，分析故障原因（如硬件老化、软件漏洞），为后续维护提供依据；同时，将检修报告提交给监狱相关部门，确保信息透明。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4797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重大节假日提前检修服务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（1）在重大节假日（如春节、国庆节、中秋节等）前 7-10 天开展专项检修，重点保障节假日期间亲情电话使用高峰的系统稳定性与服务质量，避免因设备故障影响服刑人员与家属的通话需求。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（2）强化关键设备检修：对亲情电话专用服务器（检查处理器、内存、硬盘运行状态，测试 RAID 阵列功能）、数字中继服务平台（重点测试双电源切换与网络承载能力）、语音呼叫系统（验证节假日通话次数配置功能是否正常）等关键设备进行全面检测，排除潜在故障风险。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测试系统承载能力：模拟节假日高峰通话场景（如多台亲情语音单元同时拨打），测试系统并发处理能力，检查是否存在通话拥堵、语音延迟、录音失败等问题，若发现系统负载过高，及时优化系统参数（如调整服务器资源分配）或增加临时保障措施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制定应急预案：检修后，根据潜在风险（如设备故障、网络中断）制定应急预案，明确应急处理流程、责任人与联系方式，准备备用设备（如备用亲情语音单元、电源模块），确保在节假日期间出现突发问题时能快速响应、及时解决，最大限度减少服务中断时间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32" w:type="dxa"/>
          <w:trHeight w:val="1203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通讯服务</w:t>
            </w:r>
          </w:p>
        </w:tc>
        <w:tc>
          <w:tcPr>
            <w:tcW w:w="7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提供月套餐制（含维护服务）通讯服务，月套餐费用为4000元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（2）保证在服务期范围内保障不限制时间的通讯需求，确保费用足额、及时缴纳，避免因费用问题导致通讯服务中断，保障亲情电话系统 24 小时无间断可用。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（3）建立与通讯运营商的 7×24 小时联合应急响应机制，若出现线路中断、运营商服务故障等影响通讯的问题，10 分钟内启动应急流程，运营商技术人员与我方维护团队同步介入，优先修复保障不限制时间、次数的通讯服务，故障修复后 4 小时内提交故障分析报告，明确原因与后续预防措施，最大限度减少通讯中断时长。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结算方式：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每年总报价除以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12的金额</w:t>
      </w:r>
      <w:r>
        <w:rPr>
          <w:rFonts w:hint="eastAsia" w:ascii="仿宋" w:hAnsi="仿宋" w:eastAsia="仿宋"/>
          <w:sz w:val="32"/>
          <w:szCs w:val="32"/>
          <w:lang w:eastAsia="zh-CN"/>
        </w:rPr>
        <w:t>按月支付，次月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5月前，服务商向</w:t>
      </w:r>
      <w:r>
        <w:rPr>
          <w:rFonts w:hint="eastAsia" w:ascii="仿宋" w:hAnsi="仿宋" w:eastAsia="仿宋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提供正式发票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，采购人经审核后转账支付上月服务费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（三）采购服务商</w:t>
      </w:r>
      <w:r>
        <w:rPr>
          <w:rFonts w:hint="eastAsia" w:ascii="仿宋" w:hAnsi="仿宋" w:eastAsia="仿宋"/>
          <w:sz w:val="32"/>
          <w:szCs w:val="32"/>
        </w:rPr>
        <w:t>的数量：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报价：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满足商务需求所有需求，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含，以上报价为含满足保障采购人不限时间的通信需求费用、人工、管理费、税金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13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业绩要求：服务商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至少提供一项类似项目业绩（提供合同复印件）。</w:t>
      </w:r>
    </w:p>
    <w:p>
      <w:pPr>
        <w:pStyle w:val="2"/>
        <w:spacing w:after="0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/>
          <w:b/>
          <w:bCs/>
          <w:sz w:val="32"/>
          <w:szCs w:val="32"/>
        </w:rPr>
        <w:t>、投标人资格要求</w:t>
      </w:r>
    </w:p>
    <w:p>
      <w:pPr>
        <w:pStyle w:val="194"/>
        <w:ind w:left="170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left="170"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94"/>
        <w:ind w:left="170" w:firstLine="800" w:firstLineChars="2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本项目对服务商资质要求：具有有效的中华人民共和国基础电信业务经营许可证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（询价文件里提供）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13"/>
        <w:ind w:firstLine="64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以上需要提供证明材料并加盖公司公章。</w:t>
      </w:r>
    </w:p>
    <w:p>
      <w:pPr>
        <w:pStyle w:val="2"/>
        <w:spacing w:after="0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/>
          <w:sz w:val="32"/>
          <w:szCs w:val="32"/>
        </w:rPr>
        <w:t>、报名方式：电话报名，电话028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/>
          <w:sz w:val="32"/>
          <w:szCs w:val="32"/>
        </w:rPr>
        <w:t>、报名时间：202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日至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日09时30分至1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0分，13时30分至16时30分。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十一</w:t>
      </w:r>
      <w:r>
        <w:rPr>
          <w:rFonts w:hint="eastAsia" w:ascii="仿宋" w:hAnsi="仿宋" w:eastAsia="仿宋"/>
          <w:sz w:val="32"/>
          <w:szCs w:val="32"/>
        </w:rPr>
        <w:t>、报价文件的获取：报名后投标人自行在四川省川西监狱门户网站上下载</w:t>
      </w:r>
      <w:r>
        <w:rPr>
          <w:rFonts w:hint="eastAsia" w:ascii="仿宋" w:hAnsi="仿宋" w:eastAsia="仿宋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十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、报价文件要求及递交时间:</w:t>
      </w:r>
      <w:r>
        <w:rPr>
          <w:rFonts w:hint="eastAsia" w:ascii="仿宋" w:hAnsi="仿宋" w:eastAsia="仿宋"/>
          <w:sz w:val="32"/>
          <w:szCs w:val="32"/>
          <w:lang w:eastAsia="zh-CN"/>
        </w:rPr>
        <w:t>询价</w:t>
      </w:r>
      <w:r>
        <w:rPr>
          <w:rFonts w:hint="eastAsia" w:ascii="仿宋" w:hAnsi="仿宋" w:eastAsia="仿宋"/>
          <w:sz w:val="32"/>
          <w:szCs w:val="32"/>
        </w:rPr>
        <w:t>文件符合公告规范要求。202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</w:t>
      </w:r>
      <w:r>
        <w:rPr>
          <w:rFonts w:hint="eastAsia" w:ascii="仿宋" w:hAnsi="仿宋" w:eastAsia="仿宋" w:cs="仿宋"/>
          <w:sz w:val="32"/>
          <w:szCs w:val="32"/>
        </w:rPr>
        <w:t>胶装密封采用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亲情电话服务报价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十三、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评审方式：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以满足询价文件罗列的服务内容及要求，从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投标文件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询价的内容及要求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项作为实质性要求的服务商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</w:t>
      </w:r>
      <w:r>
        <w:rPr>
          <w:rFonts w:hint="eastAsia" w:ascii="仿宋" w:hAnsi="仿宋" w:eastAsia="仿宋"/>
          <w:sz w:val="32"/>
          <w:szCs w:val="32"/>
        </w:rPr>
        <w:noBreakHyphen/>
      </w:r>
      <w:r>
        <w:rPr>
          <w:rFonts w:hint="eastAsia" w:ascii="仿宋" w:hAnsi="仿宋" w:eastAsia="仿宋"/>
          <w:sz w:val="32"/>
          <w:szCs w:val="32"/>
        </w:rPr>
        <w:t>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附件：1.询价文件 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四川省川西监狱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2025年9月30日</w:t>
      </w:r>
    </w:p>
    <w:p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13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ind w:firstLine="2641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服务商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195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196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19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197"/>
        <w:rPr>
          <w:rFonts w:hint="eastAsia" w:ascii="仿宋" w:hAnsi="仿宋" w:eastAsia="仿宋" w:cs="仿宋"/>
        </w:rPr>
      </w:pPr>
    </w:p>
    <w:tbl>
      <w:tblPr>
        <w:tblStyle w:val="3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196"/>
        <w:rPr>
          <w:rFonts w:ascii="仿宋" w:hAnsi="仿宋" w:eastAsia="仿宋" w:cs="仿宋"/>
        </w:rPr>
      </w:pPr>
    </w:p>
    <w:p>
      <w:pPr>
        <w:pStyle w:val="197"/>
        <w:rPr>
          <w:rFonts w:hint="eastAsia" w:ascii="仿宋" w:hAnsi="仿宋" w:eastAsia="仿宋" w:cs="仿宋"/>
        </w:rPr>
      </w:pP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服务商</w:t>
      </w:r>
      <w:r>
        <w:rPr>
          <w:rFonts w:hint="eastAsia" w:ascii="仿宋" w:hAnsi="仿宋" w:eastAsia="仿宋" w:cs="仿宋"/>
        </w:rPr>
        <w:t>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197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197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196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13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13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13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未对本次采购项目提供过整体设计、规范编制或者项目管理、监理、检测等服务。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服务商</w:t>
      </w:r>
      <w:r>
        <w:rPr>
          <w:rFonts w:ascii="宋体" w:hAnsi="宋体"/>
          <w:color w:val="000000"/>
          <w:sz w:val="24"/>
          <w:szCs w:val="24"/>
        </w:rPr>
        <w:t>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361"/>
      <w:bookmarkStart w:id="3" w:name="_Toc35371686"/>
      <w:bookmarkStart w:id="4" w:name="_Toc35371467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192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服务商</w:t>
      </w:r>
      <w:r>
        <w:rPr>
          <w:rFonts w:hint="eastAsia" w:hAnsi="宋体"/>
          <w:bCs/>
          <w:color w:val="000000"/>
          <w:spacing w:val="6"/>
        </w:rPr>
        <w:t>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687"/>
      <w:bookmarkStart w:id="6" w:name="_Toc35371362"/>
      <w:bookmarkStart w:id="7" w:name="_Toc35371468"/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688"/>
      <w:bookmarkStart w:id="9" w:name="_Toc35371363"/>
      <w:bookmarkStart w:id="10" w:name="_Toc35371469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spacing w:before="260" w:after="260"/>
        <w:ind w:firstLine="1687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689"/>
      <w:bookmarkStart w:id="12" w:name="_Toc35371470"/>
      <w:bookmarkStart w:id="13" w:name="_Toc35371364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/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rPr>
          <w:rFonts w:hint="eastAsia"/>
          <w:lang w:val="en-US" w:eastAsia="zh"/>
        </w:rPr>
      </w:pPr>
    </w:p>
    <w:p>
      <w:pPr>
        <w:pStyle w:val="2"/>
        <w:rPr>
          <w:rFonts w:hint="default"/>
          <w:lang w:val="en-US" w:eastAsia="zh"/>
        </w:rPr>
      </w:pPr>
    </w:p>
    <w:p>
      <w:pPr>
        <w:ind w:firstLine="1687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9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88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88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>/年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/ 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法定代表人或授权代表（签字或盖章）：                                     </w:t>
      </w:r>
    </w:p>
    <w:p>
      <w:pPr>
        <w:ind w:firstLine="470" w:firstLineChars="196"/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</w:rPr>
        <w:t>联系电话：</w:t>
      </w:r>
    </w:p>
    <w:p>
      <w:pPr>
        <w:ind w:firstLine="470" w:firstLineChars="196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   期：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</w:p>
    <w:p>
      <w:pPr>
        <w:pStyle w:val="188"/>
        <w:numPr>
          <w:ilvl w:val="0"/>
          <w:numId w:val="0"/>
        </w:numPr>
        <w:tabs>
          <w:tab w:val="left" w:pos="581"/>
        </w:tabs>
        <w:autoSpaceDE w:val="0"/>
        <w:autoSpaceDN w:val="0"/>
        <w:spacing w:before="92"/>
        <w:ind w:right="116" w:rightChars="0"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1.</w:t>
      </w:r>
      <w:r>
        <w:rPr>
          <w:rFonts w:ascii="宋体" w:hAnsi="宋体"/>
          <w:color w:val="000000"/>
          <w:sz w:val="24"/>
          <w:szCs w:val="24"/>
        </w:rPr>
        <w:t>报价</w:t>
      </w:r>
      <w:r>
        <w:rPr>
          <w:rFonts w:hint="eastAsia" w:ascii="宋体" w:hAnsi="宋体"/>
          <w:color w:val="000000"/>
          <w:sz w:val="24"/>
          <w:szCs w:val="24"/>
        </w:rPr>
        <w:t>保留小数点后两位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line="360" w:lineRule="auto"/>
        <w:ind w:firstLine="480" w:firstLineChars="200"/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color w:val="auto"/>
          <w:sz w:val="24"/>
          <w:szCs w:val="24"/>
          <w:highlight w:val="none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含满足保障采购人不限时间的通信需求费用、人工、管理费、税金</w:t>
      </w:r>
      <w:r>
        <w:rPr>
          <w:rFonts w:hint="eastAsia"/>
          <w:color w:val="auto"/>
          <w:sz w:val="24"/>
          <w:szCs w:val="24"/>
          <w:highlight w:val="none"/>
        </w:rPr>
        <w:t>及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/>
          <w:color w:val="auto"/>
          <w:sz w:val="24"/>
          <w:szCs w:val="24"/>
          <w:highlight w:val="none"/>
        </w:rPr>
        <w:t>文件规定的其他所有费用。</w:t>
      </w: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</w:t>
      </w:r>
    </w:p>
    <w:p>
      <w:pPr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val="en-US" w:eastAsia="zh-CN"/>
        </w:rPr>
        <w:t xml:space="preserve">                     </w:t>
      </w: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405" w:firstLineChars="500"/>
        <w:jc w:val="both"/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</w:pPr>
    </w:p>
    <w:p>
      <w:pPr>
        <w:ind w:firstLine="1687" w:firstLineChars="600"/>
        <w:jc w:val="both"/>
        <w:rPr>
          <w:rFonts w:ascii="宋体" w:hAnsi="宋体" w:cs="宋体"/>
          <w:b/>
          <w:bCs/>
          <w:color w:val="000000"/>
          <w:sz w:val="28"/>
          <w:szCs w:val="32"/>
        </w:rPr>
      </w:pP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bCs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bCs/>
          <w:color w:val="000000"/>
          <w:sz w:val="28"/>
          <w:szCs w:val="32"/>
        </w:rPr>
        <w:t>类似项目业绩一览表</w:t>
      </w:r>
    </w:p>
    <w:p>
      <w:pPr>
        <w:rPr>
          <w:rFonts w:ascii="宋体" w:hAnsi="宋体" w:cs="宋体"/>
          <w:color w:val="000000"/>
        </w:rPr>
      </w:pPr>
    </w:p>
    <w:tbl>
      <w:tblPr>
        <w:tblStyle w:val="36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完成时间</w:t>
            </w:r>
          </w:p>
        </w:tc>
        <w:tc>
          <w:tcPr>
            <w:tcW w:w="1421" w:type="dxa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71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20" w:firstLineChars="20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（仅限于</w:t>
      </w:r>
      <w:r>
        <w:rPr>
          <w:rFonts w:hint="eastAsia" w:ascii="宋体" w:hAnsi="宋体" w:cs="宋体"/>
          <w:color w:val="000000"/>
          <w:lang w:eastAsia="zh-CN"/>
        </w:rPr>
        <w:t>服务商</w:t>
      </w:r>
      <w:r>
        <w:rPr>
          <w:rFonts w:hint="eastAsia" w:ascii="宋体" w:hAnsi="宋体" w:cs="宋体"/>
          <w:color w:val="000000"/>
        </w:rPr>
        <w:t>自己的）以上业绩需提供有关书面证明材料。</w:t>
      </w:r>
    </w:p>
    <w:p>
      <w:pPr>
        <w:ind w:left="360"/>
        <w:jc w:val="center"/>
        <w:rPr>
          <w:rFonts w:ascii="宋体" w:hAnsi="宋体" w:cs="宋体"/>
          <w:color w:val="000000"/>
        </w:rPr>
      </w:pPr>
    </w:p>
    <w:p>
      <w:pPr>
        <w:jc w:val="left"/>
        <w:rPr>
          <w:rFonts w:ascii="宋体" w:hAnsi="宋体" w:cs="宋体"/>
          <w:color w:val="000000"/>
        </w:rPr>
      </w:pP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bookmarkStart w:id="15" w:name="_Toc307564880"/>
      <w:bookmarkStart w:id="16" w:name="_Toc436410129"/>
      <w:bookmarkStart w:id="17" w:name="_Toc436820890"/>
      <w:bookmarkStart w:id="18" w:name="_Toc436404120"/>
      <w:bookmarkStart w:id="19" w:name="_Toc436385992"/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adjustRightInd w:val="0"/>
        <w:rPr>
          <w:rFonts w:ascii="宋体" w:hAnsi="宋体" w:cs="宋体"/>
          <w:bCs/>
          <w:color w:val="000000"/>
          <w:spacing w:val="8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Cs w:val="24"/>
        </w:rPr>
      </w:pPr>
    </w:p>
    <w:bookmarkEnd w:id="15"/>
    <w:bookmarkEnd w:id="16"/>
    <w:bookmarkEnd w:id="17"/>
    <w:bookmarkEnd w:id="18"/>
    <w:bookmarkEnd w:id="19"/>
    <w:p>
      <w:pPr>
        <w:jc w:val="center"/>
        <w:rPr>
          <w:rFonts w:ascii="宋体" w:hAnsi="宋体" w:cs="宋体"/>
          <w:b/>
          <w:bCs/>
          <w:color w:val="000000"/>
          <w:szCs w:val="24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 w:ascii="宋体" w:hAnsi="宋体" w:cs="宋体"/>
          <w:color w:val="000000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三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本项目管理、技术、服务人员情况表</w:t>
      </w:r>
    </w:p>
    <w:p>
      <w:pPr>
        <w:rPr>
          <w:rFonts w:ascii="宋体" w:hAnsi="宋体" w:cs="宋体"/>
          <w:color w:val="000000"/>
        </w:rPr>
      </w:pPr>
    </w:p>
    <w:tbl>
      <w:tblPr>
        <w:tblStyle w:val="36"/>
        <w:tblW w:w="94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44"/>
        <w:gridCol w:w="1144"/>
        <w:gridCol w:w="1144"/>
        <w:gridCol w:w="1144"/>
        <w:gridCol w:w="1144"/>
        <w:gridCol w:w="1144"/>
        <w:gridCol w:w="1144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14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常住地</w:t>
            </w:r>
          </w:p>
        </w:tc>
        <w:tc>
          <w:tcPr>
            <w:tcW w:w="419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资格证明（附复印件）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证书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售后服务人员</w:t>
            </w: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42" w:type="dxa"/>
            <w:vMerge w:val="continue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pStyle w:val="2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以上人员需附身份证复印件及相关证书（如有）复印件，并加盖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 w:val="24"/>
          <w:szCs w:val="24"/>
        </w:rPr>
        <w:t>公章。</w:t>
      </w:r>
    </w:p>
    <w:p>
      <w:pPr>
        <w:adjustRightInd w:val="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  <w:lang w:eastAsia="zh-CN"/>
        </w:rPr>
        <w:t>服务商</w:t>
      </w:r>
      <w:r>
        <w:rPr>
          <w:rFonts w:hint="eastAsia" w:ascii="宋体" w:hAnsi="宋体" w:cs="宋体"/>
          <w:color w:val="000000"/>
          <w:szCs w:val="24"/>
        </w:rPr>
        <w:t>名称：</w:t>
      </w:r>
      <w:r>
        <w:rPr>
          <w:rFonts w:hint="eastAsia" w:ascii="宋体" w:hAnsi="宋体" w:cs="宋体"/>
          <w:color w:val="000000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Cs w:val="24"/>
        </w:rPr>
        <w:t>（盖单位公章）</w:t>
      </w:r>
    </w:p>
    <w:p>
      <w:pPr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  <w:r>
        <w:rPr>
          <w:rFonts w:hint="eastAsia" w:ascii="宋体" w:hAnsi="宋体" w:cs="宋体"/>
          <w:color w:val="000000"/>
          <w:szCs w:val="24"/>
        </w:rPr>
        <w:t xml:space="preserve">日 期：  年 月 日 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bookmarkStart w:id="20" w:name="_GoBack"/>
      <w:bookmarkEnd w:id="20"/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四</w:t>
      </w:r>
      <w:r>
        <w:rPr>
          <w:rFonts w:hint="eastAsia" w:ascii="宋体" w:hAnsi="宋体" w:cs="宋体"/>
          <w:b/>
          <w:color w:val="000000"/>
          <w:sz w:val="28"/>
          <w:szCs w:val="32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服务商保密承诺函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  <w:lang w:eastAsia="zh-CN"/>
        </w:rPr>
        <w:t>五、服务商</w:t>
      </w:r>
      <w:r>
        <w:rPr>
          <w:rFonts w:hint="eastAsia" w:ascii="宋体" w:hAnsi="宋体" w:cs="宋体"/>
          <w:b/>
          <w:color w:val="000000"/>
          <w:sz w:val="28"/>
          <w:szCs w:val="32"/>
        </w:rPr>
        <w:t>认为需要提供的文件和资料</w:t>
      </w:r>
    </w:p>
    <w:p>
      <w:pPr>
        <w:jc w:val="center"/>
        <w:rPr>
          <w:rFonts w:ascii="宋体" w:hAnsi="宋体" w:cs="宋体"/>
          <w:bCs/>
          <w:color w:val="000000"/>
        </w:rPr>
      </w:pPr>
      <w:r>
        <w:rPr>
          <w:rFonts w:hint="eastAsia" w:ascii="宋体" w:hAnsi="宋体" w:cs="宋体"/>
          <w:color w:val="000000"/>
        </w:rPr>
        <w:t xml:space="preserve">   </w:t>
      </w:r>
      <w:r>
        <w:rPr>
          <w:rFonts w:hint="eastAsia" w:ascii="宋体" w:hAnsi="宋体" w:cs="宋体"/>
          <w:b/>
          <w:color w:val="000000"/>
        </w:rPr>
        <w:t xml:space="preserve"> </w:t>
      </w:r>
      <w:r>
        <w:rPr>
          <w:rFonts w:hint="eastAsia" w:ascii="宋体" w:hAnsi="宋体" w:cs="宋体"/>
          <w:bCs/>
          <w:color w:val="000000"/>
        </w:rPr>
        <w:t xml:space="preserve"> （格式自拟）</w:t>
      </w:r>
    </w:p>
    <w:p>
      <w:pPr>
        <w:pStyle w:val="13"/>
        <w:rPr>
          <w:rFonts w:ascii="宋体" w:hAnsi="宋体" w:cs="宋体"/>
          <w:color w:val="000000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ind w:firstLine="2201" w:firstLineChars="500"/>
        <w:jc w:val="both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仿宋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195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31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57070"/>
    <w:rsid w:val="08FD68A1"/>
    <w:rsid w:val="0BC91213"/>
    <w:rsid w:val="0C4E4B8E"/>
    <w:rsid w:val="104A08A4"/>
    <w:rsid w:val="120A08A1"/>
    <w:rsid w:val="173F7FE6"/>
    <w:rsid w:val="1CB560EB"/>
    <w:rsid w:val="1D515D56"/>
    <w:rsid w:val="238E1A46"/>
    <w:rsid w:val="26F46F46"/>
    <w:rsid w:val="2B584FF3"/>
    <w:rsid w:val="2E012A19"/>
    <w:rsid w:val="2FE27C97"/>
    <w:rsid w:val="31945504"/>
    <w:rsid w:val="3250630E"/>
    <w:rsid w:val="32B55599"/>
    <w:rsid w:val="33BA14B1"/>
    <w:rsid w:val="33C12CF3"/>
    <w:rsid w:val="361B6266"/>
    <w:rsid w:val="3DCE0EC3"/>
    <w:rsid w:val="3E5270A6"/>
    <w:rsid w:val="3F6137ED"/>
    <w:rsid w:val="48CF23C5"/>
    <w:rsid w:val="48F433EB"/>
    <w:rsid w:val="502A498A"/>
    <w:rsid w:val="50FB2208"/>
    <w:rsid w:val="5DD25FBF"/>
    <w:rsid w:val="654D4114"/>
    <w:rsid w:val="665D09BB"/>
    <w:rsid w:val="68EF4A54"/>
    <w:rsid w:val="6BB25ED7"/>
    <w:rsid w:val="6E403901"/>
    <w:rsid w:val="70BD2C8A"/>
    <w:rsid w:val="78AD56C1"/>
    <w:rsid w:val="7F410076"/>
    <w:rsid w:val="7F5F9067"/>
    <w:rsid w:val="7FAB1553"/>
    <w:rsid w:val="E777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0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18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0"/>
    <w:qFormat/>
    <w:uiPriority w:val="0"/>
    <w:pPr>
      <w:spacing w:after="120"/>
    </w:pPr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Body Text First Indent"/>
    <w:basedOn w:val="2"/>
    <w:link w:val="191"/>
    <w:qFormat/>
    <w:uiPriority w:val="0"/>
    <w:pPr>
      <w:ind w:firstLine="420" w:firstLineChars="100"/>
    </w:pPr>
  </w:style>
  <w:style w:type="paragraph" w:styleId="1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15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9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187"/>
    <w:qFormat/>
    <w:uiPriority w:val="0"/>
    <w:rPr>
      <w:sz w:val="18"/>
      <w:szCs w:val="18"/>
    </w:rPr>
  </w:style>
  <w:style w:type="paragraph" w:styleId="21">
    <w:name w:val="footer"/>
    <w:basedOn w:val="1"/>
    <w:link w:val="18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18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character" w:styleId="33">
    <w:name w:val="endnote reference"/>
    <w:basedOn w:val="32"/>
    <w:semiHidden/>
    <w:unhideWhenUsed/>
    <w:qFormat/>
    <w:uiPriority w:val="99"/>
    <w:rPr>
      <w:vertAlign w:val="superscript"/>
    </w:rPr>
  </w:style>
  <w:style w:type="character" w:styleId="3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2"/>
    <w:unhideWhenUsed/>
    <w:qFormat/>
    <w:uiPriority w:val="99"/>
    <w:rPr>
      <w:vertAlign w:val="superscript"/>
    </w:rPr>
  </w:style>
  <w:style w:type="table" w:styleId="37">
    <w:name w:val="Table Grid"/>
    <w:basedOn w:val="3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8">
    <w:name w:val="Heading 1 Char"/>
    <w:basedOn w:val="32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basedOn w:val="32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basedOn w:val="32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basedOn w:val="32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basedOn w:val="32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basedOn w:val="32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basedOn w:val="32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basedOn w:val="32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basedOn w:val="32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8">
    <w:name w:val="Title Char"/>
    <w:basedOn w:val="32"/>
    <w:link w:val="31"/>
    <w:qFormat/>
    <w:uiPriority w:val="10"/>
    <w:rPr>
      <w:sz w:val="48"/>
      <w:szCs w:val="48"/>
    </w:rPr>
  </w:style>
  <w:style w:type="character" w:customStyle="1" w:styleId="49">
    <w:name w:val="Subtitle Char"/>
    <w:basedOn w:val="32"/>
    <w:link w:val="2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qFormat/>
    <w:uiPriority w:val="30"/>
    <w:rPr>
      <w:i/>
    </w:rPr>
  </w:style>
  <w:style w:type="character" w:customStyle="1" w:styleId="54">
    <w:name w:val="Header Char"/>
    <w:basedOn w:val="32"/>
    <w:qFormat/>
    <w:uiPriority w:val="99"/>
  </w:style>
  <w:style w:type="character" w:customStyle="1" w:styleId="55">
    <w:name w:val="Footer Char"/>
    <w:basedOn w:val="32"/>
    <w:qFormat/>
    <w:uiPriority w:val="99"/>
  </w:style>
  <w:style w:type="character" w:customStyle="1" w:styleId="56">
    <w:name w:val="Caption Char"/>
    <w:qFormat/>
    <w:uiPriority w:val="99"/>
  </w:style>
  <w:style w:type="table" w:customStyle="1" w:styleId="57">
    <w:name w:val="Table Grid Light"/>
    <w:basedOn w:val="36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36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3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36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36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36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36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36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36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36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36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3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36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36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3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3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3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36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3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36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36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3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3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3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36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3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36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36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36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36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36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36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3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3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36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36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3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36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3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36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3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36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36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36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36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36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36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3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3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36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36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36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36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36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36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3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36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36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3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36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3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36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3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36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36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36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36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36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36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3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36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36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36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36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36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36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3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36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36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36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36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36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36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3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36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36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36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36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36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36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3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3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3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36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36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36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36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36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36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3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6"/>
    <w:qFormat/>
    <w:uiPriority w:val="99"/>
    <w:rPr>
      <w:sz w:val="18"/>
    </w:rPr>
  </w:style>
  <w:style w:type="character" w:customStyle="1" w:styleId="183">
    <w:name w:val="Endnote Text Char"/>
    <w:link w:val="19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rPr>
      <w:rFonts w:hint="default" w:ascii="Calibri" w:hAnsi="Calibri" w:eastAsia="宋体" w:cs="Times New Roman"/>
    </w:rPr>
  </w:style>
  <w:style w:type="character" w:customStyle="1" w:styleId="185">
    <w:name w:val="页眉 Char"/>
    <w:basedOn w:val="32"/>
    <w:link w:val="22"/>
    <w:qFormat/>
    <w:uiPriority w:val="0"/>
    <w:rPr>
      <w:kern w:val="2"/>
      <w:sz w:val="18"/>
      <w:szCs w:val="18"/>
    </w:rPr>
  </w:style>
  <w:style w:type="character" w:customStyle="1" w:styleId="186">
    <w:name w:val="页脚 Char"/>
    <w:basedOn w:val="32"/>
    <w:link w:val="21"/>
    <w:qFormat/>
    <w:uiPriority w:val="99"/>
    <w:rPr>
      <w:kern w:val="2"/>
      <w:sz w:val="18"/>
      <w:szCs w:val="18"/>
    </w:rPr>
  </w:style>
  <w:style w:type="character" w:customStyle="1" w:styleId="187">
    <w:name w:val="批注框文本 Char"/>
    <w:basedOn w:val="32"/>
    <w:link w:val="20"/>
    <w:qFormat/>
    <w:uiPriority w:val="0"/>
    <w:rPr>
      <w:kern w:val="2"/>
      <w:sz w:val="18"/>
      <w:szCs w:val="18"/>
    </w:rPr>
  </w:style>
  <w:style w:type="paragraph" w:styleId="188">
    <w:name w:val="List Paragraph"/>
    <w:basedOn w:val="1"/>
    <w:qFormat/>
    <w:uiPriority w:val="99"/>
    <w:pPr>
      <w:ind w:firstLine="420" w:firstLineChars="200"/>
    </w:pPr>
  </w:style>
  <w:style w:type="character" w:customStyle="1" w:styleId="189">
    <w:name w:val="标题 2 Char"/>
    <w:basedOn w:val="32"/>
    <w:link w:val="4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0">
    <w:name w:val="正文文本 Char"/>
    <w:basedOn w:val="32"/>
    <w:link w:val="2"/>
    <w:qFormat/>
    <w:uiPriority w:val="0"/>
    <w:rPr>
      <w:kern w:val="2"/>
      <w:sz w:val="21"/>
      <w:szCs w:val="22"/>
    </w:rPr>
  </w:style>
  <w:style w:type="character" w:customStyle="1" w:styleId="191">
    <w:name w:val="正文首行缩进 Char"/>
    <w:basedOn w:val="190"/>
    <w:link w:val="13"/>
    <w:qFormat/>
    <w:uiPriority w:val="0"/>
    <w:rPr>
      <w:kern w:val="2"/>
      <w:sz w:val="21"/>
      <w:szCs w:val="22"/>
    </w:rPr>
  </w:style>
  <w:style w:type="paragraph" w:customStyle="1" w:styleId="19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193">
    <w:name w:val="font21"/>
    <w:basedOn w:val="3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9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195">
    <w:name w:val="20、第五章“(一)”三级标题"/>
    <w:basedOn w:val="196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196">
    <w:name w:val="01、普通正文"/>
    <w:basedOn w:val="1"/>
    <w:next w:val="27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197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198">
    <w:name w:val="标题 41"/>
    <w:basedOn w:val="1"/>
    <w:next w:val="1"/>
    <w:qFormat/>
    <w:uiPriority w:val="0"/>
    <w:pPr>
      <w:keepNext/>
      <w:jc w:val="center"/>
      <w:outlineLvl w:val="3"/>
    </w:pPr>
    <w:rPr>
      <w:rFonts w:eastAsia="新宋体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ScaleCrop>false</ScaleCrop>
  <LinksUpToDate>false</LinksUpToDate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2023-06-09T21:56:00Z</dcterms:created>
  <dc:creator>Administrator</dc:creator>
  <cp:lastModifiedBy>杨虹桥</cp:lastModifiedBy>
  <dcterms:modified xsi:type="dcterms:W3CDTF">2025-09-30T02:04:14Z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