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firstLine="3840" w:firstLineChars="1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72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color w:val="000000" w:themeColor="text1"/>
          <w14:textFill>
            <w14:solidFill>
              <w14:schemeClr w14:val="tx1"/>
            </w14:solidFill>
          </w14:textFill>
        </w:rPr>
        <w:t>罪犯何永章，曾用</w:t>
      </w:r>
      <w:r>
        <w:rPr>
          <w:rFonts w:hint="eastAsia" w:ascii="仿宋" w:hAnsi="仿宋" w:eastAsia="仿宋"/>
        </w:rPr>
        <w:t>名：何刚，男，1971年6月18出生，初中文化，现在四川省阿坝监狱服刑。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szCs w:val="21"/>
        </w:rPr>
      </w:pPr>
      <w:r>
        <w:rPr>
          <w:rFonts w:hint="eastAsia" w:ascii="仿宋" w:hAnsi="仿宋" w:eastAsia="仿宋"/>
          <w:sz w:val="32"/>
        </w:rPr>
        <w:t>罪犯何永章在服刑期间，认罪悔罪，</w:t>
      </w:r>
      <w:r>
        <w:rPr>
          <w:rFonts w:hint="eastAsia" w:ascii="仿宋" w:hAnsi="仿宋" w:eastAsia="仿宋"/>
          <w:sz w:val="32"/>
          <w:lang w:eastAsia="zh-CN"/>
        </w:rPr>
        <w:t>基本</w:t>
      </w:r>
      <w:r>
        <w:rPr>
          <w:rFonts w:hint="eastAsia" w:ascii="仿宋" w:hAnsi="仿宋" w:eastAsia="仿宋"/>
          <w:sz w:val="32"/>
        </w:rPr>
        <w:t>遵规守纪，积极改造，确有悔改表现。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为此，根据《中华人民共和国监狱法》第二十九条，《中华人民共和国刑法》第七十八条，《中华人民共和国刑事诉讼法》第二百七十三条第二款的规定，建议对罪犯何永章减刑六个月。特报请裁定。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5029C"/>
    <w:rsid w:val="1225029C"/>
    <w:rsid w:val="574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2025-07-16T07:06:00Z</dcterms:created>
  <dc:creator>文盈盈</dc:creator>
  <cp:lastModifiedBy>文盈盈</cp:lastModifiedBy>
  <dcterms:modified xsi:type="dcterms:W3CDTF">2025-07-16T07:11:42Z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