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56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ascii="宋体" w:hAnsi="宋体" w:eastAsia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316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</w:rPr>
      </w:pPr>
      <w:bookmarkStart w:id="0" w:name="_GoBack"/>
      <w:r>
        <w:rPr>
          <w:rFonts w:hint="eastAsia" w:ascii="仿宋" w:hAnsi="仿宋" w:eastAsia="仿宋" w:cs="仿宋"/>
          <w:sz w:val="32"/>
        </w:rPr>
        <w:t>罪犯供波甲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</w:t>
      </w:r>
      <w:r>
        <w:rPr>
          <w:rFonts w:hint="eastAsia" w:ascii="仿宋" w:hAnsi="仿宋" w:eastAsia="仿宋" w:cs="仿宋"/>
          <w:sz w:val="32"/>
        </w:rPr>
        <w:t>1989年7月8日出生</w:t>
      </w:r>
      <w:r>
        <w:rPr>
          <w:rFonts w:hint="eastAsia" w:ascii="仿宋" w:hAnsi="仿宋" w:eastAsia="仿宋" w:cs="仿宋"/>
          <w:sz w:val="32"/>
          <w:szCs w:val="32"/>
        </w:rPr>
        <w:t>，文盲，现在四川省阿坝监狱七监区服刑。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</w:rPr>
        <w:t>罪犯供波甲在服刑期间，</w:t>
      </w:r>
      <w:r>
        <w:rPr>
          <w:rFonts w:hint="eastAsia" w:ascii="仿宋" w:hAnsi="仿宋" w:eastAsia="仿宋" w:cs="仿宋"/>
          <w:sz w:val="32"/>
          <w:szCs w:val="32"/>
        </w:rPr>
        <w:t>认罪悔罪，基本遵规守纪，积极改造，确有悔改表现。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为此，根据《中华人民共和国监狱法》第二十九条、《中华人民共和国刑法》第七十八条、《中华人民共和国刑事诉讼法》第二百七十三条第二款的规定，建议对罪犯供波甲减刑六个月。特报请裁定。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800" w:firstLineChars="25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F84147"/>
    <w:rsid w:val="25F8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2025-07-17T01:45:00Z</dcterms:created>
  <dc:creator>文盈盈</dc:creator>
  <cp:lastModifiedBy>文盈盈</cp:lastModifiedBy>
  <dcterms:modified xsi:type="dcterms:W3CDTF">2025-07-17T01:45:23Z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