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（2025）省阿监减字第2</w:t>
      </w:r>
      <w:r>
        <w:rPr>
          <w:rFonts w:ascii="仿宋" w:hAnsi="仿宋" w:eastAsia="仿宋"/>
          <w:sz w:val="32"/>
          <w:szCs w:val="32"/>
        </w:rPr>
        <w:t>86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罪犯三郎泽郎</w:t>
      </w:r>
      <w:bookmarkEnd w:id="0"/>
      <w:r>
        <w:rPr>
          <w:rFonts w:hint="eastAsia" w:ascii="仿宋" w:hAnsi="仿宋" w:eastAsia="仿宋"/>
        </w:rPr>
        <w:t>，曾用名石宝，男，1989年1月2日出生，中专文化，现在四川省阿坝监狱服刑。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罪犯三郎泽郎在服刑期间，认罪悔罪，基本遵规守纪，积极改造，确有悔改表现。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为此，根据《中华人民共和国监狱法》第二十九条，《中华人民共和国刑法》第七十八条，《中华人民共和国刑事诉讼法》第二百七十三条第二款的规定，建议对罪犯三郎泽郎减刑四个月，特报请裁定。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B461B"/>
    <w:rsid w:val="7AFB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2025-07-16T07:07:00Z</dcterms:created>
  <dc:creator>文盈盈</dc:creator>
  <cp:lastModifiedBy>文盈盈</cp:lastModifiedBy>
  <dcterms:modified xsi:type="dcterms:W3CDTF">2025-07-16T07:07:58Z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