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28"/>
        </w:rPr>
        <w:t xml:space="preserve">  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_GB2312"/>
          <w:color w:val="auto"/>
          <w:sz w:val="32"/>
          <w:szCs w:val="32"/>
        </w:rPr>
        <w:t>26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 w:cs="仿宋_GB2312"/>
          <w:color w:val="auto"/>
          <w:szCs w:val="32"/>
        </w:rPr>
      </w:pPr>
      <w:r>
        <w:rPr>
          <w:rFonts w:hint="eastAsia" w:ascii="仿宋" w:hAnsi="仿宋" w:eastAsia="仿宋" w:cs="仿宋_GB2312"/>
          <w:color w:val="auto"/>
          <w:szCs w:val="32"/>
        </w:rPr>
        <w:t>罪犯王李刚，男，1981年12月28日出生，小学文化，现在四川省阿坝监狱服刑。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综上所述，罪犯王李刚在服刑期间，认罪悔罪，遵规守纪，积极改造，确有悔改表现。</w:t>
      </w:r>
      <w:bookmarkStart w:id="0" w:name="_GoBack"/>
      <w:bookmarkEnd w:id="0"/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为此，根据《中华人民共和国监狱法》第二十九条，《中华人民共和国刑法》第七十八条，《中华人民共和国刑事诉讼法》第二百七十三条第二款的规定，建议对罪犯王李刚减刑六个月。特报请裁定。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2025年5月7日</w:t>
      </w:r>
    </w:p>
    <w:p>
      <w:pPr>
        <w:spacing w:line="579" w:lineRule="exact"/>
        <w:rPr>
          <w:rFonts w:ascii="仿宋" w:hAnsi="仿宋" w:eastAsia="仿宋" w:cs="华文中宋"/>
          <w:color w:val="auto"/>
          <w:sz w:val="44"/>
        </w:rPr>
      </w:pPr>
    </w:p>
    <w:p>
      <w:pPr>
        <w:spacing w:line="579" w:lineRule="exact"/>
        <w:rPr>
          <w:rFonts w:ascii="仿宋" w:hAnsi="仿宋" w:eastAsia="仿宋" w:cs="华文中宋"/>
          <w:color w:val="auto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96D8B"/>
    <w:rsid w:val="147B458A"/>
    <w:rsid w:val="2BE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2025-05-09T03:13:00Z</dcterms:created>
  <dc:creator>文盈盈</dc:creator>
  <cp:lastModifiedBy>文盈盈</cp:lastModifiedBy>
  <dcterms:modified xsi:type="dcterms:W3CDTF">2025-05-09T04:30:59Z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