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eastAsia="黑体"/>
          <w:sz w:val="44"/>
        </w:rPr>
      </w:pPr>
    </w:p>
    <w:p>
      <w:pPr>
        <w:spacing w:line="4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4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80" w:lineRule="exact"/>
        <w:ind w:firstLine="880" w:firstLineChars="200"/>
        <w:rPr>
          <w:rFonts w:eastAsia="黑体"/>
          <w:sz w:val="44"/>
        </w:rPr>
      </w:pPr>
    </w:p>
    <w:p>
      <w:pPr>
        <w:spacing w:line="480" w:lineRule="exact"/>
        <w:ind w:firstLine="4160" w:firstLineChars="1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（2025）省阿监减字第112号</w:t>
      </w:r>
    </w:p>
    <w:p>
      <w:pPr>
        <w:pStyle w:val="2"/>
        <w:spacing w:line="480" w:lineRule="exact"/>
        <w:rPr>
          <w:rFonts w:hint="eastAsia" w:ascii="仿宋" w:hAnsi="仿宋" w:eastAsia="仿宋"/>
        </w:rPr>
      </w:pPr>
    </w:p>
    <w:p>
      <w:pPr>
        <w:pStyle w:val="2"/>
        <w:spacing w:line="480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罪犯丁祥军</w:t>
      </w:r>
      <w:bookmarkEnd w:id="0"/>
      <w:r>
        <w:rPr>
          <w:rFonts w:hint="eastAsia" w:ascii="仿宋" w:hAnsi="仿宋" w:eastAsia="仿宋"/>
        </w:rPr>
        <w:t>，男，1984年2月2日出生，汉族，小学文化，捕前职业：农民，原户籍所在地：四川省峨眉山市。现在四川省阿坝监狱二监区服刑。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因抢劫罪、盗窃罪，经四川省乐山市中级人民法院于2006年11月8日以（2006）乐刑初字第44号刑事判决书，判处决定执行死刑，缓期二年执行，剥夺政治权利终身，并处没收个人全部财产。同案不服判决，提出上诉，经四川省高级人民法院于2007年3月14日以（2007）川刑终字第100号刑事判决书，维持并核准对被告人丁祥军的判决。刑期自2007年4月18日起，于2007年4月20日入监雅安监狱执行刑罚。</w:t>
      </w:r>
      <w:r>
        <w:rPr>
          <w:rFonts w:hint="eastAsia" w:ascii="仿宋" w:hAnsi="仿宋" w:eastAsia="仿宋"/>
          <w:szCs w:val="32"/>
        </w:rPr>
        <w:t>服刑期间刑罚变更执行情况：</w:t>
      </w:r>
      <w:r>
        <w:rPr>
          <w:rFonts w:hint="eastAsia" w:ascii="仿宋" w:hAnsi="仿宋" w:eastAsia="仿宋"/>
        </w:rPr>
        <w:t>四川省高级人民法院于2009年7月15日以（2009）川刑执字第918号刑事裁定，将其刑罚减为无期徒刑，剥夺政治权利终身；于2012年2月16日以（2012）川刑执字第254号刑事裁定，将其刑罚减为有期徒刑十八年二个月（刑期自2012年2月16日起至2030年4月15日止），剥夺政治权利七年；四川省德阳市中级人民法院于2014年7月24日以（2014）德刑执字第551号刑事裁定，对其减刑一年二个月，剥夺政治权利七年不变；于2016年8月26日以（2016）川06刑更619号刑事裁定，对其减刑一年一个月，剥夺政治权利七年不变；于2019年7月23日以（2019）川06刑更552号刑事裁定，对其减刑四个月，剥夺政治权利七年不变；于2022年9月9日以（2022）川06刑更700号刑事裁定，对其减刑六个月，剥夺政治权利七年不变。刑期至2027年3月15日止。</w:t>
      </w:r>
    </w:p>
    <w:p>
      <w:pPr>
        <w:widowControl/>
        <w:spacing w:line="480" w:lineRule="exact"/>
        <w:ind w:firstLine="640" w:firstLineChars="2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该犯在服刑期间，认罪悔罪；遵守法律法规及监规，接受教育改造，兼任互监组组长、召集员期间认真负责，如：2022年2月-2022年9月，兼任互监组组长、召集员尽职，共获加分12分。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积极参加思想、文化、职业技术教育，在2024年下半年监狱组织的三课教育学习中取得了合格的成绩。</w:t>
      </w:r>
      <w:r>
        <w:rPr>
          <w:rFonts w:hint="eastAsia" w:ascii="仿宋" w:hAnsi="仿宋" w:eastAsia="仿宋" w:cs="仿宋_GB2312"/>
          <w:sz w:val="32"/>
          <w:szCs w:val="32"/>
        </w:rPr>
        <w:t>积极参加劳动，努力完成劳动任务。没收个人全部财产，已终结。</w:t>
      </w:r>
      <w:r>
        <w:rPr>
          <w:rFonts w:hint="eastAsia" w:ascii="仿宋" w:hAnsi="仿宋" w:eastAsia="仿宋"/>
          <w:sz w:val="32"/>
          <w:szCs w:val="32"/>
        </w:rPr>
        <w:t>本考核期内，罪犯丁祥军共获得表扬7个，悔改表现评定结论为：确有悔改表现。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综上所述，罪犯丁祥军在服刑期间，认罪悔罪，遵规守纪，积极改造，确有悔改表现。该犯系数罪并罚判处死缓，依法应当从严，又因抢劫罪判十年以上，结合案情原判死缓，共扣减幅度2个月。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为此，根据《中华人民共和国监狱法》第二十九条，《中华人民共和国刑法》第七十八条，《中华人民共和国刑事诉讼法》第二百七十三条第二款的规定，建议对罪犯丁祥军减刑六个月，特报请裁定。</w:t>
      </w:r>
    </w:p>
    <w:p>
      <w:pPr>
        <w:spacing w:line="480" w:lineRule="exact"/>
        <w:ind w:firstLine="640" w:firstLineChars="200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480" w:lineRule="exact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480" w:lineRule="exact"/>
        <w:rPr>
          <w:rFonts w:ascii="仿宋" w:hAnsi="仿宋" w:eastAsia="仿宋"/>
          <w:color w:val="000000"/>
          <w:sz w:val="32"/>
        </w:rPr>
      </w:pPr>
    </w:p>
    <w:p>
      <w:pPr>
        <w:spacing w:line="480" w:lineRule="exact"/>
        <w:rPr>
          <w:rFonts w:ascii="仿宋" w:hAnsi="仿宋" w:eastAsia="仿宋"/>
          <w:color w:val="000000"/>
          <w:sz w:val="32"/>
        </w:rPr>
      </w:pPr>
    </w:p>
    <w:p>
      <w:pPr>
        <w:spacing w:line="480" w:lineRule="exact"/>
        <w:ind w:left="-56" w:firstLine="6080" w:firstLineChars="19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spacing w:line="480" w:lineRule="exact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2025年3月6日</w:t>
      </w:r>
    </w:p>
    <w:p>
      <w:pPr>
        <w:spacing w:line="480" w:lineRule="exact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78" w:lineRule="exact"/>
        <w:jc w:val="right"/>
        <w:rPr>
          <w:rFonts w:ascii="黑体" w:hAnsi="黑体" w:eastAsia="黑体"/>
          <w:sz w:val="44"/>
        </w:rPr>
      </w:pPr>
    </w:p>
    <w:p>
      <w:pPr>
        <w:spacing w:line="578" w:lineRule="exact"/>
        <w:jc w:val="center"/>
        <w:rPr>
          <w:rFonts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013DE"/>
    <w:rsid w:val="26D0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2025-03-12T08:07:00Z</dcterms:created>
  <dc:creator>文盈盈</dc:creator>
  <cp:lastModifiedBy>文盈盈</cp:lastModifiedBy>
  <dcterms:modified xsi:type="dcterms:W3CDTF">2025-03-12T08:07:40Z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