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75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罪犯石高让</w:t>
      </w:r>
      <w:bookmarkEnd w:id="0"/>
      <w:r>
        <w:rPr>
          <w:rFonts w:hint="eastAsia" w:hAnsi="宋体"/>
          <w:szCs w:val="32"/>
        </w:rPr>
        <w:t>，男，1968年6月18日出生，藏族，身份证号513229196806180818，小学文化，农民，原户籍所在地：四川省马尔康市。现在阿坝监狱七监区服刑。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盗窃罪，经四川省马尔康市人民法院于2022年12月16日以（2022）川3201刑初46号刑事判决书判处有期徒刑3年，罚金8000元，刑期自2022年12月30日起至2025年11月22日止。被告人石高让未提出上诉。于2023年3月15日送我狱执行刑罚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接受教育改造，积极参加思想、文化、职业技术教育，在2024年下半年监狱组织的三课教育学习中取得了合格的成绩。积极参加劳动，努力完成劳动任务。罚金8000元（已缴纳）。本考核期内，罪犯石高让共获得表扬2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综上所述，罪犯石高让在服刑期间，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认罪悔罪，遵规守纪，积极改造，确有悔改表现。该犯因余刑原因，扣减幅度一个月。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为此，根据《中华人民共和国监狱法》第二十九条，《中华人民共和国刑法》第七十八条，《中华人民共和国刑事诉讼法》第二百七十三条第二款的规定，建议对罪犯石高让减刑六个月。特报请裁定。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56BCE"/>
    <w:rsid w:val="2325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2025-03-12T08:41:00Z</dcterms:created>
  <dc:creator>文盈盈</dc:creator>
  <cp:lastModifiedBy>文盈盈</cp:lastModifiedBy>
  <dcterms:modified xsi:type="dcterms:W3CDTF">2025-03-12T08:41:29Z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