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90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spacing w:line="59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（2024）省阿监减字第4</w:t>
      </w:r>
      <w:r>
        <w:rPr>
          <w:rFonts w:ascii="仿宋" w:hAnsi="仿宋" w:eastAsia="仿宋" w:cs="仿宋"/>
          <w:sz w:val="32"/>
          <w:szCs w:val="32"/>
        </w:rPr>
        <w:t>37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9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罪犯尚基甲</w:t>
      </w:r>
      <w:bookmarkEnd w:id="0"/>
      <w:r>
        <w:rPr>
          <w:rFonts w:hint="eastAsia" w:ascii="仿宋" w:hAnsi="仿宋" w:eastAsia="仿宋"/>
          <w:szCs w:val="32"/>
        </w:rPr>
        <w:t>，男，1983年4月13日出生，藏族，文盲，</w:t>
      </w:r>
      <w:r>
        <w:rPr>
          <w:rFonts w:hint="eastAsia" w:ascii="仿宋" w:eastAsia="仿宋" w:cs="仿宋"/>
        </w:rPr>
        <w:t>捕前职业：牧民，</w:t>
      </w:r>
      <w:r>
        <w:rPr>
          <w:rFonts w:hint="eastAsia" w:ascii="仿宋" w:hAnsi="仿宋" w:eastAsia="仿宋"/>
          <w:szCs w:val="32"/>
        </w:rPr>
        <w:t>原户籍所在地：四川省壤塘县。现在四川省阿坝监狱七监区服刑。</w:t>
      </w:r>
    </w:p>
    <w:p>
      <w:pPr>
        <w:pStyle w:val="2"/>
        <w:spacing w:line="59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因强奸罪，经四川省壤塘县人民法院于2020年8月24日以（2020）川3230刑初7号刑事判决书判处有期徒刑十年，刑期自2019年10月5日起至2029年10月4日止。于2020年9月14日送我狱执行刑罚。</w:t>
      </w:r>
    </w:p>
    <w:p>
      <w:pPr>
        <w:spacing w:line="590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。积极参加思想、文化、职业技术教育，在2023年下半年参加监狱组织的思想政治教育考试中取得了89分的成绩。积极参加劳动，努力完成劳动任务，如：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年1月，在2</w:t>
      </w:r>
      <w:r>
        <w:rPr>
          <w:rFonts w:ascii="仿宋" w:hAnsi="仿宋" w:eastAsia="仿宋"/>
          <w:sz w:val="32"/>
          <w:szCs w:val="32"/>
        </w:rPr>
        <w:t>022</w:t>
      </w:r>
      <w:r>
        <w:rPr>
          <w:rFonts w:hint="eastAsia" w:ascii="仿宋" w:hAnsi="仿宋" w:eastAsia="仿宋"/>
          <w:sz w:val="32"/>
          <w:szCs w:val="32"/>
        </w:rPr>
        <w:t>年“双百技工”评选活动中获得“优秀班组”奖，获加分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分。本考核期内，罪犯尚基甲共获得表扬5个，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9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综上所述，罪犯尚基甲在服刑期间，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认罪悔罪，遵规守纪，积极改造，确有悔改表现。该犯系强奸罪被判处有期徒刑十年，依法应当从严。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为此，根据《中华人民共和国监狱法》第二十九条，《中华人民共和国刑法》第七十八条，《中华人民共和国刑事诉讼法》第二百七十三条第二款之规定，建议对罪犯尚基甲减刑七个月。特报请裁定。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9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90" w:lineRule="exact"/>
        <w:ind w:left="-56" w:firstLine="640"/>
        <w:jc w:val="right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392F3D"/>
    <w:rsid w:val="6C392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2024-09-13T07:04:00Z</dcterms:created>
  <dc:creator>文盈盈</dc:creator>
  <cp:lastModifiedBy>文盈盈</cp:lastModifiedBy>
  <dcterms:modified xsi:type="dcterms:W3CDTF">2024-09-13T07:05:03Z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