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spacing w:line="600" w:lineRule="exact"/>
        <w:ind w:firstLine="560" w:firstLineChars="200"/>
        <w:jc w:val="right"/>
        <w:rPr>
          <w:rFonts w:ascii="仿宋" w:hAnsi="仿宋" w:eastAsia="仿宋" w:cs="仿宋"/>
          <w:sz w:val="28"/>
          <w:szCs w:val="28"/>
        </w:rPr>
      </w:pPr>
    </w:p>
    <w:p>
      <w:pPr>
        <w:spacing w:line="600" w:lineRule="exact"/>
        <w:ind w:firstLine="640" w:firstLineChars="200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</w:rPr>
        <w:t>（2024）省阿监减字第412号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罪犯吴剑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，男，1992年11月1日出生，羌族，中专文化，捕前职业：农民，原户籍所在地：四川省茂县。现在四川省阿坝监狱四监区服刑。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交通肇事罪，经四川省茂县人民法院于2022年3月28日以（2022）川3223刑初9号刑事判决书，判处有期徒刑三年五个月。被告人吴剑未提出上诉，刑期自2021年11月24日起至2025年4月23日止。于2022年5月27日送我狱执行刑罚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认真遵守法律法规及监规。接受教育改造，担任互监组长认真负责，如：2023年2月-7月，担任互监组长尽责，获得加分6分。积极参加思想、文化、职业技术教育，参加监狱组织的2023年下半年思想政治教育考试，取得了84分的成绩。积极参加劳动，努力完成劳动任务。民赔409277.10元，案件受理费4280元，未履行；月均消费154.3元，账户余额246.33元；另出狱储备金账户219.6元、社会责任金账户439.2元。本次考核期内，罪犯吴剑共计获得表扬4个，悔改表现评定结论为：确有悔改表现。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综上所述，罪犯吴剑在服刑期间，认罪悔罪，遵规守纪，积极改造，确有悔改表现。该犯财产性判项未履行，依法应当从严。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为此，根据《中华人民共和国监狱法》第二十九条、《中华人民共和国刑法》第七十八条、《中华人民共和国刑事诉讼法》第二百七十三条第二款的规定，建议对罪犯吴剑减刑五个月。特报请裁定。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7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7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700" w:lineRule="exact"/>
        <w:ind w:left="-56"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700" w:lineRule="exact"/>
        <w:jc w:val="right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32"/>
          <w:szCs w:val="32"/>
        </w:rPr>
        <w:t>2024年9月6日</w:t>
      </w:r>
    </w:p>
    <w:p>
      <w:pPr>
        <w:widowControl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810D9D"/>
    <w:rsid w:val="4581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2024-09-14T02:45:00Z</dcterms:created>
  <dc:creator>文盈盈</dc:creator>
  <cp:lastModifiedBy>文盈盈</cp:lastModifiedBy>
  <dcterms:modified xsi:type="dcterms:W3CDTF">2024-09-14T02:45:22Z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