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四川省阿坝监狱</w:t>
      </w:r>
    </w:p>
    <w:p>
      <w:pPr>
        <w:spacing w:line="579" w:lineRule="exact"/>
        <w:jc w:val="center"/>
        <w:rPr>
          <w:rFonts w:hint="eastAsia" w:ascii="黑体" w:hAnsi="宋体" w:eastAsia="黑体" w:cs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报请减刑建议书</w:t>
      </w:r>
    </w:p>
    <w:p>
      <w:pPr>
        <w:spacing w:line="579" w:lineRule="exact"/>
        <w:ind w:firstLine="640" w:firstLineChars="200"/>
        <w:jc w:val="right"/>
        <w:rPr>
          <w:rFonts w:hint="eastAsia" w:ascii="仿宋" w:hAnsi="仿宋" w:eastAsia="仿宋" w:cs="黑体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 xml:space="preserve">         </w:t>
      </w:r>
    </w:p>
    <w:p>
      <w:pPr>
        <w:numPr>
          <w:ilvl w:val="0"/>
          <w:numId w:val="1"/>
        </w:numPr>
        <w:spacing w:line="579" w:lineRule="exact"/>
        <w:ind w:firstLine="640" w:firstLineChars="200"/>
        <w:jc w:val="right"/>
        <w:rPr>
          <w:rFonts w:hint="eastAsia" w:ascii="仿宋" w:hAnsi="仿宋" w:eastAsia="仿宋" w:cs="黑体"/>
          <w:color w:val="auto"/>
          <w:sz w:val="32"/>
          <w:szCs w:val="32"/>
          <w:lang w:bidi="ar"/>
        </w:rPr>
      </w:pP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省阿监减字第4</w:t>
      </w:r>
      <w:r>
        <w:rPr>
          <w:rFonts w:ascii="仿宋" w:hAnsi="仿宋" w:eastAsia="仿宋" w:cs="黑体"/>
          <w:color w:val="auto"/>
          <w:sz w:val="32"/>
          <w:szCs w:val="32"/>
          <w:lang w:bidi="ar"/>
        </w:rPr>
        <w:t>58</w:t>
      </w: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号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黑体"/>
          <w:color w:val="auto"/>
          <w:sz w:val="32"/>
          <w:szCs w:val="32"/>
          <w:lang w:bidi="ar"/>
        </w:rPr>
      </w:pPr>
      <w:bookmarkStart w:id="0" w:name="_GoBack"/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罪犯梁波</w:t>
      </w:r>
      <w:bookmarkEnd w:id="0"/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，男，1981年5月21日出生，汉族，初中文化，捕前职业：农民，原户籍所在地：四川省隆昌县。现在四川省阿坝监狱八监区服刑。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因贩卖、运输毒品罪，经广东省中山市中级人民法院于2014年10月22日以（2014）中中法刑一初字第63号刑事判决书，判处有期徒刑十五年，并处没收个人财产八万元。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被告人梁波不服判决，提起上诉。经广东省高级人民法院于2014年12月19日以（2014）粤高法刑四终字第330号刑事裁定书，驳回上诉，维持原判，刑期自2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014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年1月8日起至2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029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年1月7日止。于2015年2月3日送广东省番禺监狱执行刑罚，2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015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5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转入我狱执行刑罚。服刑期间刑罚变更执行情况：四川省德阳市中级人民法院于2018年7月9日以（2018）川06刑更585号刑事裁定书，对其减刑六个月；于2020年8月21日以（2020）川06刑更894号刑事裁定书，对其减刑七个月；于20222年9月9日以（2022）川06刑更703号刑事裁定书，对其减刑六个月，减刑后刑期至2027年6月7日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该犯在服刑期间，认罪悔罪；遵守法律法规及监规，接受教育改造2023年5月-8月，担任监区夜巡员表现突出，获得加分4分；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积极参加思想、文化、职业技术教育，在2023年下半年思想政治教育考试中取得了95分的成绩。积极参加劳动，努力完成劳动任务；没收个人财产八万元，已履行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2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496.86元（2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024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年5月下账履行1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000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元）。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月均消费1</w:t>
      </w:r>
      <w:r>
        <w:rPr>
          <w:rFonts w:ascii="仿宋" w:hAnsi="仿宋" w:eastAsia="仿宋" w:cs="仿宋_GB2312"/>
          <w:color w:val="auto"/>
          <w:sz w:val="32"/>
          <w:szCs w:val="32"/>
        </w:rPr>
        <w:t>43.53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元，截止到2024年</w:t>
      </w:r>
      <w:r>
        <w:rPr>
          <w:rFonts w:ascii="仿宋" w:hAnsi="仿宋" w:eastAsia="仿宋" w:cs="仿宋_GB2312"/>
          <w:color w:val="auto"/>
          <w:sz w:val="32"/>
          <w:szCs w:val="32"/>
        </w:rPr>
        <w:t>6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</w:t>
      </w:r>
      <w:r>
        <w:rPr>
          <w:rFonts w:ascii="仿宋" w:hAnsi="仿宋" w:eastAsia="仿宋" w:cs="仿宋_GB2312"/>
          <w:color w:val="auto"/>
          <w:sz w:val="32"/>
          <w:szCs w:val="32"/>
        </w:rPr>
        <w:t>30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日账户余额</w:t>
      </w:r>
      <w:r>
        <w:rPr>
          <w:rFonts w:ascii="仿宋" w:hAnsi="仿宋" w:eastAsia="仿宋" w:cs="仿宋_GB2312"/>
          <w:color w:val="auto"/>
          <w:sz w:val="32"/>
          <w:szCs w:val="32"/>
        </w:rPr>
        <w:t>420.11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元，</w:t>
      </w:r>
      <w:r>
        <w:rPr>
          <w:rFonts w:hint="eastAsia" w:ascii="仿宋" w:hAnsi="仿宋" w:eastAsia="仿宋"/>
          <w:color w:val="auto"/>
          <w:sz w:val="32"/>
          <w:szCs w:val="32"/>
        </w:rPr>
        <w:t>另出狱储备金账户</w:t>
      </w:r>
      <w:r>
        <w:rPr>
          <w:rFonts w:ascii="仿宋" w:hAnsi="仿宋" w:eastAsia="仿宋"/>
          <w:color w:val="auto"/>
          <w:sz w:val="32"/>
          <w:szCs w:val="32"/>
        </w:rPr>
        <w:t>435.83</w:t>
      </w:r>
      <w:r>
        <w:rPr>
          <w:rFonts w:hint="eastAsia" w:ascii="仿宋" w:hAnsi="仿宋" w:eastAsia="仿宋"/>
          <w:color w:val="auto"/>
          <w:sz w:val="32"/>
          <w:szCs w:val="32"/>
        </w:rPr>
        <w:t>元、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社会责任金账户</w:t>
      </w:r>
      <w:r>
        <w:rPr>
          <w:rFonts w:ascii="仿宋" w:hAnsi="仿宋" w:eastAsia="仿宋" w:cs="仿宋_GB2312"/>
          <w:color w:val="auto"/>
          <w:sz w:val="32"/>
          <w:szCs w:val="32"/>
        </w:rPr>
        <w:t>21.66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元。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本次考核期内，罪犯梁波共计获得表扬4个，悔改表现评定结论为：确有悔改表现。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综上所述，罪犯梁波在服刑期间，认罪悔罪，遵规守纪，积极改造，确有悔改表现。该犯财产性判项未完全履行，依法应当从严。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为此，根据《中华人民共和国监狱法》第二十九条、《中华人民共和国刑法》第七十八条、《中华人民共和国刑事诉讼法》第二百七十三条第二款的规定，建议对罪犯梁波减刑七个月。特报请裁定。</w:t>
      </w:r>
    </w:p>
    <w:p>
      <w:pPr>
        <w:spacing w:line="579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此致</w:t>
      </w:r>
    </w:p>
    <w:p>
      <w:pPr>
        <w:spacing w:line="579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四川省德阳市中级人民法院</w:t>
      </w:r>
    </w:p>
    <w:p>
      <w:pPr>
        <w:spacing w:line="579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            </w:t>
      </w:r>
    </w:p>
    <w:p>
      <w:pPr>
        <w:spacing w:line="579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79" w:lineRule="exact"/>
        <w:ind w:left="-57" w:firstLine="6118" w:firstLineChars="1912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四川省阿坝监狱</w:t>
      </w:r>
    </w:p>
    <w:p>
      <w:pPr>
        <w:spacing w:line="579" w:lineRule="exact"/>
        <w:ind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 2024年9月6日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79" w:lineRule="exact"/>
        <w:ind w:firstLine="640" w:firstLineChars="200"/>
        <w:rPr>
          <w:rFonts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79" w:lineRule="exact"/>
        <w:ind w:firstLine="640" w:firstLineChars="200"/>
        <w:rPr>
          <w:rFonts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420" w:lineRule="exact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443AD"/>
    <w:multiLevelType w:val="singleLevel"/>
    <w:tmpl w:val="37F443AD"/>
    <w:lvl w:ilvl="0" w:tentative="0">
      <w:start w:val="202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D0D3E"/>
    <w:rsid w:val="698D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2024-09-12T02:01:00Z</dcterms:created>
  <dc:creator>文盈盈</dc:creator>
  <cp:lastModifiedBy>文盈盈</cp:lastModifiedBy>
  <dcterms:modified xsi:type="dcterms:W3CDTF">2024-09-12T02:02:30Z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