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9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41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罪犯程海洪</w:t>
      </w:r>
      <w:bookmarkEnd w:id="0"/>
      <w:r>
        <w:rPr>
          <w:rFonts w:hint="eastAsia" w:ascii="仿宋" w:hAnsi="仿宋" w:eastAsia="仿宋"/>
          <w:szCs w:val="32"/>
        </w:rPr>
        <w:t>，男，1988年7月29日出生，汉族，高中文化，</w:t>
      </w:r>
      <w:r>
        <w:rPr>
          <w:rFonts w:hint="eastAsia" w:ascii="仿宋" w:eastAsia="仿宋" w:cs="仿宋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原户籍所在地：四川省巴中市。现在四川省阿坝监狱七监区服刑。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绑架罪，经北京市朝阳区人民法院于2019年10月30日以（2019）京0105刑初1646号刑事判决书判处有期徒刑十年，罚金人民币一万元，剥夺政治权利二年，责令退赔被害人一万九千五百元。被告人程海洪不服，提起上诉，经北京市第三中级人民法院于2019年11月22日作出（2019）京03刑终979号刑事裁定驳回上诉，维持原判，刑期自2019年1月3日起至2029年1月2日止，2021年9月13日送北京市外地罪犯遣送处执行刑罚，2021年10月21日转入我狱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该犯在服刑期间，认罪悔罪；遵守法律法规及监规，接受教育改造。积极参加思想、文化、职业技术教育，在2023年下半年参加监狱组织的思想政治教育考试中取得了87分的成绩。积极参加劳动，努力完成劳动任务</w:t>
      </w:r>
      <w:r>
        <w:rPr>
          <w:rFonts w:hint="eastAsia" w:ascii="仿宋" w:hAnsi="仿宋" w:eastAsia="仿宋" w:cs="仿宋"/>
          <w:sz w:val="32"/>
          <w:szCs w:val="32"/>
        </w:rPr>
        <w:t>，如：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年1月，在“双百”技工评选活动中获得“优秀班组”奖，获加分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罚金人民币一万元，已缴纳；责令退赔被害人一万九千五百元，已执行。本考核期内，罪犯程海洪共获得表扬4个，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9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综上所述，罪犯程海洪在服刑期间，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认罪悔罪，遵规守纪，积极改造，确有悔改表现。该犯系绑架罪被判处十年有期徒刑，依法应当从严。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为此，根据《中华人民共和国监狱法》第二十九条，《中华人民共和国刑法》第七十八条，《中华人民共和国刑事诉讼法》第二百七十三条第二款之规定，建议对罪犯程海洪减刑六个月。特报请裁定。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>
      <w:pPr>
        <w:spacing w:line="580" w:lineRule="exact"/>
        <w:rPr>
          <w:color w:val="5B9BD5" w:themeColor="accent1"/>
          <w14:textFill>
            <w14:solidFill>
              <w14:schemeClr w14:val="accent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87C99"/>
    <w:rsid w:val="2008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2024-09-13T07:12:00Z</dcterms:created>
  <dc:creator>文盈盈</dc:creator>
  <cp:lastModifiedBy>文盈盈</cp:lastModifiedBy>
  <dcterms:modified xsi:type="dcterms:W3CDTF">2024-09-13T07:12:55Z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