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2640" w:firstLineChars="600"/>
        <w:rPr>
          <w:rFonts w:ascii="黑体" w:hAnsi="黑体" w:eastAsia="黑体" w:cs="黑体"/>
          <w:sz w:val="44"/>
          <w:lang w:val="zh-CN"/>
        </w:rPr>
      </w:pPr>
      <w:r>
        <w:rPr>
          <w:rFonts w:hint="eastAsia" w:ascii="黑体" w:hAnsi="黑体" w:eastAsia="黑体" w:cs="黑体"/>
          <w:sz w:val="44"/>
          <w:lang w:val="zh-CN"/>
        </w:rPr>
        <w:t>四川省阿坝监狱</w:t>
      </w:r>
    </w:p>
    <w:p>
      <w:pPr>
        <w:spacing w:line="600" w:lineRule="exact"/>
        <w:ind w:firstLine="2640" w:firstLineChars="600"/>
        <w:rPr>
          <w:rFonts w:ascii="黑体" w:hAnsi="黑体" w:eastAsia="黑体" w:cs="黑体"/>
          <w:sz w:val="44"/>
          <w:lang w:val="zh-CN"/>
        </w:rPr>
      </w:pPr>
      <w:r>
        <w:rPr>
          <w:rFonts w:hint="eastAsia" w:ascii="黑体" w:hAnsi="黑体" w:eastAsia="黑体" w:cs="黑体"/>
          <w:sz w:val="44"/>
          <w:lang w:val="zh-CN"/>
        </w:rPr>
        <w:t>报请减刑建议书</w:t>
      </w:r>
    </w:p>
    <w:p>
      <w:pPr>
        <w:spacing w:line="480" w:lineRule="exact"/>
        <w:ind w:firstLine="560" w:firstLineChars="200"/>
        <w:jc w:val="right"/>
        <w:rPr>
          <w:rFonts w:ascii="仿宋" w:hAnsi="仿宋" w:eastAsia="仿宋" w:cs="仿宋"/>
          <w:sz w:val="28"/>
        </w:rPr>
      </w:pPr>
    </w:p>
    <w:p>
      <w:pPr>
        <w:spacing w:line="480" w:lineRule="exact"/>
        <w:ind w:firstLine="640" w:firstLineChars="200"/>
        <w:jc w:val="right"/>
        <w:rPr>
          <w:rFonts w:ascii="仿宋" w:hAnsi="仿宋" w:eastAsia="仿宋" w:cs="仿宋"/>
          <w:sz w:val="28"/>
        </w:rPr>
      </w:pPr>
      <w:r>
        <w:rPr>
          <w:rFonts w:hint="eastAsia" w:ascii="仿宋" w:hAnsi="仿宋" w:eastAsia="仿宋" w:cs="仿宋"/>
          <w:sz w:val="32"/>
          <w:szCs w:val="32"/>
        </w:rPr>
        <w:t>（2024）省阿监减字第414号</w:t>
      </w:r>
    </w:p>
    <w:p>
      <w:pPr>
        <w:spacing w:line="480" w:lineRule="exact"/>
        <w:ind w:left="-56" w:firstLine="640" w:firstLineChars="200"/>
        <w:rPr>
          <w:rFonts w:ascii="仿宋" w:hAnsi="仿宋" w:eastAsia="仿宋" w:cs="仿宋"/>
          <w:sz w:val="32"/>
          <w:szCs w:val="32"/>
        </w:rPr>
      </w:pPr>
      <w:bookmarkStart w:id="0" w:name="_GoBack"/>
      <w:r>
        <w:rPr>
          <w:rFonts w:hint="eastAsia" w:ascii="仿宋" w:hAnsi="仿宋" w:eastAsia="仿宋" w:cs="仿宋"/>
          <w:sz w:val="32"/>
          <w:szCs w:val="32"/>
        </w:rPr>
        <w:t>罪犯赵健兵</w:t>
      </w:r>
      <w:bookmarkEnd w:id="0"/>
      <w:r>
        <w:rPr>
          <w:rFonts w:hint="eastAsia" w:ascii="仿宋" w:hAnsi="仿宋" w:eastAsia="仿宋" w:cs="仿宋"/>
          <w:sz w:val="32"/>
          <w:szCs w:val="32"/>
        </w:rPr>
        <w:t>，男，1985年7月18日出生，汉族，小学文化，捕前职业：无业，原户籍所在地：重庆市江津区。现在四川省阿坝监狱四监区服刑。</w:t>
      </w:r>
    </w:p>
    <w:p>
      <w:pPr>
        <w:spacing w:line="480" w:lineRule="exact"/>
        <w:ind w:left="-56" w:firstLine="640" w:firstLineChars="200"/>
        <w:rPr>
          <w:rFonts w:ascii="仿宋" w:hAnsi="仿宋" w:eastAsia="仿宋" w:cs="仿宋"/>
          <w:sz w:val="32"/>
        </w:rPr>
      </w:pPr>
      <w:r>
        <w:rPr>
          <w:rFonts w:hint="eastAsia" w:ascii="仿宋" w:hAnsi="仿宋" w:eastAsia="仿宋" w:cs="仿宋"/>
          <w:sz w:val="32"/>
          <w:szCs w:val="32"/>
        </w:rPr>
        <w:t>该犯曾于2010年2月2日因犯贩卖毒品罪被广东省佛山市顺德区人民法院判处有期徒刑一年，并处罚金一千元，2010年9月14日刑满释放。因故意伤害罪，经广东省佛山市中级人民法院于2012年12月18日以（2012）佛中法刑一初字第161号刑事附带民事判决书判处有期徒刑十五年，剥夺政治权利五年，连带赔偿民事诉讼原告人68813.49元。被告人赵健兵不服判决提起上诉，经广东省高级人民法院于2013年3月8日以（2013）粤高法刑一终字第26号刑事裁定书驳回上诉，维持原判，刑期自2012年5月18日起至2027年5月17日止。于2013年4月22日送广东省韶关监狱执行刑罚，于2015年12月25日调我狱执行刑罚。服刑期间刑罚变更执行情况：广东省韶关市中级人民法院于2015年11月26日以（2015）韶中法刑执字第6437号刑事裁定书对其减刑七个月；经四川省德阳市中级人民法院于2018年4月19日以（2018）川06刑更236号刑事裁定书对其减刑五个月；于2020年8月21日以（2020）川06刑更926号刑事裁定书对其减刑六个月；于2022年9月9日以（2022）川06刑更717号刑事裁定，对其减刑五个月。</w:t>
      </w:r>
      <w:r>
        <w:rPr>
          <w:rFonts w:hint="eastAsia" w:ascii="仿宋" w:hAnsi="仿宋" w:eastAsia="仿宋" w:cs="仿宋"/>
          <w:sz w:val="32"/>
        </w:rPr>
        <w:t>刑期至2025年6月17日止。</w:t>
      </w:r>
    </w:p>
    <w:p>
      <w:pPr>
        <w:spacing w:line="480" w:lineRule="exact"/>
        <w:ind w:firstLine="640" w:firstLineChars="200"/>
        <w:rPr>
          <w:rFonts w:ascii="仿宋" w:hAnsi="仿宋" w:eastAsia="仿宋" w:cs="仿宋"/>
          <w:sz w:val="32"/>
          <w:szCs w:val="32"/>
        </w:rPr>
      </w:pPr>
      <w:r>
        <w:rPr>
          <w:rFonts w:hint="eastAsia" w:ascii="仿宋" w:hAnsi="仿宋" w:eastAsia="仿宋" w:cs="仿宋"/>
          <w:sz w:val="32"/>
        </w:rPr>
        <w:t>该犯在服刑期间，认罪悔罪；认真遵守法律法规及监规。积极靠拢政府，担任互监组长认真负责，如：2022年2月-2024年5月，担任互监组长尽责，共获得加分26分。积极参加思想、文化、职业技术教育，在2023年下半年参加监狱组织的思想政治教育考试中取得了91分的成绩。积极参加劳动，在劳动中服从分配，积极主动，能严格遵守安全生产制度，努力完成劳动任务。</w:t>
      </w:r>
      <w:r>
        <w:rPr>
          <w:rFonts w:hint="eastAsia" w:ascii="仿宋" w:hAnsi="仿宋" w:eastAsia="仿宋" w:cs="仿宋"/>
          <w:sz w:val="32"/>
          <w:szCs w:val="32"/>
        </w:rPr>
        <w:t>连带民事赔偿68813.49元，公证赔偿60000元，8813.49元受害方自愿放弃。本次</w:t>
      </w:r>
      <w:r>
        <w:rPr>
          <w:rFonts w:hint="eastAsia" w:ascii="仿宋" w:hAnsi="仿宋" w:eastAsia="仿宋" w:cs="仿宋"/>
          <w:sz w:val="32"/>
        </w:rPr>
        <w:t>考核期内，罪犯赵建兵共计获得表扬5个，</w:t>
      </w:r>
      <w:r>
        <w:rPr>
          <w:rFonts w:hint="eastAsia" w:ascii="仿宋" w:hAnsi="仿宋" w:eastAsia="仿宋" w:cs="仿宋"/>
          <w:sz w:val="32"/>
          <w:szCs w:val="32"/>
        </w:rPr>
        <w:t>悔改表现评定结论为：确有悔改表现。</w:t>
      </w:r>
    </w:p>
    <w:p>
      <w:pPr>
        <w:spacing w:line="480" w:lineRule="exact"/>
        <w:ind w:left="-56" w:firstLine="640" w:firstLineChars="200"/>
        <w:rPr>
          <w:rFonts w:ascii="仿宋" w:hAnsi="仿宋" w:eastAsia="仿宋" w:cs="仿宋"/>
          <w:sz w:val="32"/>
        </w:rPr>
      </w:pPr>
      <w:r>
        <w:rPr>
          <w:rFonts w:hint="eastAsia" w:ascii="仿宋" w:hAnsi="仿宋" w:eastAsia="仿宋" w:cs="仿宋"/>
          <w:sz w:val="32"/>
        </w:rPr>
        <w:t>综上所述，罪犯赵建兵在服刑期间，</w:t>
      </w:r>
      <w:r>
        <w:rPr>
          <w:rFonts w:hint="eastAsia" w:ascii="仿宋" w:hAnsi="仿宋" w:eastAsia="仿宋" w:cs="仿宋"/>
          <w:sz w:val="32"/>
          <w:szCs w:val="32"/>
        </w:rPr>
        <w:t>认罪悔罪，遵规守纪，积极改造，确有悔改表现。该犯系累犯，依法应当从严。</w:t>
      </w:r>
    </w:p>
    <w:p>
      <w:pPr>
        <w:spacing w:line="480" w:lineRule="exact"/>
        <w:ind w:left="-56" w:firstLine="640" w:firstLineChars="200"/>
        <w:rPr>
          <w:rFonts w:ascii="仿宋" w:hAnsi="仿宋" w:eastAsia="仿宋" w:cs="仿宋"/>
          <w:sz w:val="32"/>
        </w:rPr>
      </w:pPr>
      <w:r>
        <w:rPr>
          <w:rFonts w:hint="eastAsia" w:ascii="仿宋" w:hAnsi="仿宋" w:eastAsia="仿宋" w:cs="仿宋"/>
          <w:sz w:val="32"/>
          <w:szCs w:val="32"/>
        </w:rPr>
        <w:t>为此，根据《中华人民共和国监狱法》第二十九条、《中华人民共和国刑法》第七十八条、《中华人民共和国刑事诉讼法》第二百七十三条第二款的规定，建议对罪犯赵建兵减刑八个月。特报请裁定。</w:t>
      </w:r>
    </w:p>
    <w:p>
      <w:pPr>
        <w:spacing w:line="480" w:lineRule="exact"/>
        <w:ind w:left="-57" w:leftChars="-27" w:firstLine="800" w:firstLineChars="250"/>
        <w:rPr>
          <w:rFonts w:ascii="仿宋" w:hAnsi="仿宋" w:eastAsia="仿宋" w:cs="仿宋"/>
          <w:sz w:val="32"/>
        </w:rPr>
      </w:pPr>
      <w:r>
        <w:rPr>
          <w:rFonts w:hint="eastAsia" w:ascii="仿宋" w:hAnsi="仿宋" w:eastAsia="仿宋" w:cs="仿宋"/>
          <w:sz w:val="32"/>
        </w:rPr>
        <w:t>此致</w:t>
      </w:r>
    </w:p>
    <w:p>
      <w:pPr>
        <w:spacing w:line="480" w:lineRule="exact"/>
        <w:rPr>
          <w:rFonts w:ascii="仿宋" w:hAnsi="仿宋" w:eastAsia="仿宋" w:cs="仿宋"/>
          <w:sz w:val="32"/>
        </w:rPr>
      </w:pPr>
      <w:r>
        <w:rPr>
          <w:rFonts w:hint="eastAsia" w:ascii="仿宋" w:hAnsi="仿宋" w:eastAsia="仿宋" w:cs="仿宋"/>
          <w:sz w:val="32"/>
        </w:rPr>
        <w:t>四川省德阳市中级人民法院</w:t>
      </w:r>
    </w:p>
    <w:p>
      <w:pPr>
        <w:spacing w:line="480" w:lineRule="exact"/>
        <w:rPr>
          <w:rFonts w:ascii="仿宋" w:hAnsi="仿宋" w:eastAsia="仿宋" w:cs="仿宋"/>
          <w:sz w:val="32"/>
        </w:rPr>
      </w:pPr>
    </w:p>
    <w:p>
      <w:pPr>
        <w:spacing w:line="480" w:lineRule="exact"/>
        <w:ind w:left="-56" w:firstLine="640" w:firstLineChars="200"/>
        <w:jc w:val="right"/>
        <w:rPr>
          <w:rFonts w:ascii="仿宋" w:hAnsi="仿宋" w:eastAsia="仿宋" w:cs="仿宋"/>
          <w:sz w:val="32"/>
        </w:rPr>
      </w:pPr>
      <w:r>
        <w:rPr>
          <w:rFonts w:hint="eastAsia" w:ascii="仿宋" w:hAnsi="仿宋" w:eastAsia="仿宋" w:cs="仿宋"/>
          <w:sz w:val="32"/>
        </w:rPr>
        <w:t>四川省阿坝监狱</w:t>
      </w:r>
    </w:p>
    <w:p>
      <w:pPr>
        <w:spacing w:line="480" w:lineRule="exact"/>
        <w:ind w:left="-56" w:firstLine="640" w:firstLineChars="200"/>
        <w:jc w:val="right"/>
        <w:rPr>
          <w:rFonts w:ascii="仿宋" w:hAnsi="仿宋" w:eastAsia="仿宋" w:cs="仿宋"/>
          <w:sz w:val="32"/>
        </w:rPr>
      </w:pPr>
      <w:r>
        <w:rPr>
          <w:rFonts w:hint="eastAsia" w:ascii="仿宋" w:hAnsi="仿宋" w:eastAsia="仿宋" w:cs="仿宋"/>
          <w:sz w:val="32"/>
        </w:rPr>
        <w:t>2024年9月6日</w:t>
      </w:r>
    </w:p>
    <w:p>
      <w:pPr>
        <w:widowControl/>
        <w:jc w:val="left"/>
        <w:rPr>
          <w:rFonts w:ascii="仿宋" w:hAnsi="仿宋" w:eastAsia="仿宋" w:cs="仿宋"/>
          <w:sz w:val="32"/>
          <w:szCs w:val="32"/>
        </w:rPr>
      </w:pPr>
      <w:r>
        <w:rPr>
          <w:rFonts w:hint="eastAsia" w:ascii="仿宋" w:hAnsi="仿宋" w:eastAsia="仿宋" w:cs="仿宋"/>
          <w:sz w:val="32"/>
          <w:szCs w:val="32"/>
        </w:rPr>
        <w:br w:type="page"/>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EC3E40"/>
    <w:rsid w:val="34EC3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2024-09-14T02:42:00Z</dcterms:created>
  <dc:creator>文盈盈</dc:creator>
  <cp:lastModifiedBy>文盈盈</cp:lastModifiedBy>
  <dcterms:modified xsi:type="dcterms:W3CDTF">2024-09-14T02:42:43Z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