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7193"/>
      <w:bookmarkStart w:id="2" w:name="_Toc15396475"/>
      <w:bookmarkStart w:id="3" w:name="_Toc15377425"/>
      <w:bookmarkStart w:id="4" w:name="_Toc15396597"/>
      <w:bookmarkStart w:id="5" w:name="_Toc15378441"/>
      <w:r>
        <w:rPr>
          <w:rFonts w:ascii="黑体" w:hAnsi="黑体" w:eastAsia="黑体"/>
          <w:sz w:val="72"/>
          <w:szCs w:val="72"/>
        </w:rPr>
        <w:t>20</w:t>
      </w:r>
      <w:r>
        <w:rPr>
          <w:rFonts w:hint="eastAsia" w:ascii="黑体" w:hAnsi="黑体" w:eastAsia="黑体"/>
          <w:sz w:val="72"/>
          <w:szCs w:val="72"/>
        </w:rPr>
        <w:t>21</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72"/>
          <w:szCs w:val="72"/>
        </w:rPr>
      </w:pPr>
      <w:bookmarkStart w:id="6" w:name="_Toc15378442"/>
      <w:bookmarkStart w:id="7" w:name="_Toc15377194"/>
      <w:bookmarkStart w:id="8" w:name="_Toc15396476"/>
      <w:bookmarkStart w:id="9" w:name="_Toc15377426"/>
      <w:bookmarkStart w:id="10" w:name="_Toc15396598"/>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监狱管理局</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宜宾监狱管理科</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w:t>
      </w:r>
      <w:r>
        <w:rPr>
          <w:rFonts w:hint="eastAsia"/>
          <w:lang w:val="en-US" w:eastAsia="zh-CN"/>
        </w:rPr>
        <w:t>9</w:t>
      </w:r>
      <w:r>
        <w:rPr>
          <w:rFonts w:hint="eastAsia"/>
        </w:rPr>
        <w:t>日</w:t>
      </w:r>
    </w:p>
    <w:p/>
    <w:p>
      <w:pPr>
        <w:pStyle w:val="10"/>
        <w:keepNext w:val="0"/>
        <w:keepLines w:val="0"/>
        <w:pageBreakBefore w:val="0"/>
        <w:widowControl w:val="0"/>
        <w:tabs>
          <w:tab w:val="right" w:leader="dot" w:pos="756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4"/>
          <w:szCs w:val="24"/>
          <w:lang w:val="en-US" w:eastAsia="zh-CN"/>
        </w:rPr>
      </w:pPr>
      <w:r>
        <w:rPr>
          <w:rFonts w:hint="eastAsia"/>
          <w:sz w:val="28"/>
          <w:szCs w:val="28"/>
        </w:rPr>
        <w:t>第一部分</w:t>
      </w:r>
      <w:r>
        <w:rPr>
          <w:rFonts w:hint="eastAsia"/>
          <w:sz w:val="28"/>
          <w:szCs w:val="28"/>
          <w:lang w:val="en-US" w:eastAsia="zh-CN"/>
        </w:rPr>
        <w:t xml:space="preserve"> </w:t>
      </w:r>
      <w:r>
        <w:rPr>
          <w:rFonts w:hint="eastAsia"/>
          <w:sz w:val="28"/>
          <w:szCs w:val="28"/>
        </w:rPr>
        <w:t>单位概况</w:t>
      </w:r>
      <w:r>
        <w:rPr>
          <w:rFonts w:hint="eastAsia"/>
          <w:sz w:val="24"/>
        </w:rPr>
        <w:t xml:space="preserve"> </w:t>
      </w:r>
      <w:r>
        <w:rPr>
          <w:rFonts w:hint="eastAsia"/>
          <w:sz w:val="24"/>
          <w:lang w:val="en-US" w:eastAsia="zh-CN"/>
        </w:rPr>
        <w:tab/>
        <w:t>4</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eastAsia" w:ascii="宋体" w:hAnsi="宋体" w:eastAsia="宋体" w:cs="宋体"/>
          <w:sz w:val="28"/>
          <w:szCs w:val="28"/>
          <w:lang w:val="en-US" w:eastAsia="zh-CN"/>
        </w:rPr>
      </w:pPr>
      <w:r>
        <w:rPr>
          <w:rFonts w:hint="eastAsia"/>
          <w:sz w:val="24"/>
        </w:rPr>
        <w:t>一、职能简介</w:t>
      </w:r>
      <w:r>
        <w:rPr>
          <w:rFonts w:hint="eastAsia"/>
          <w:sz w:val="24"/>
          <w:lang w:val="en-US" w:eastAsia="zh-CN"/>
        </w:rPr>
        <w:tab/>
      </w:r>
      <w:r>
        <w:rPr>
          <w:rFonts w:hint="eastAsia" w:ascii="宋体" w:hAnsi="宋体" w:eastAsia="宋体" w:cs="宋体"/>
          <w:sz w:val="24"/>
          <w:lang w:val="en-US" w:eastAsia="zh-CN"/>
        </w:rPr>
        <w:t>4</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二、2021年重点工作完成情况</w:t>
      </w:r>
      <w:r>
        <w:rPr>
          <w:rFonts w:hint="eastAsia" w:asciiTheme="minorEastAsia" w:hAnsiTheme="minorEastAsia" w:eastAsiaTheme="minorEastAsia" w:cstheme="minorEastAsia"/>
          <w:sz w:val="24"/>
          <w:lang w:val="en-US" w:eastAsia="zh-CN"/>
        </w:rPr>
        <w:tab/>
        <w:t>4</w:t>
      </w:r>
    </w:p>
    <w:p>
      <w:pPr>
        <w:pStyle w:val="10"/>
        <w:keepNext w:val="0"/>
        <w:keepLines w:val="0"/>
        <w:pageBreakBefore w:val="0"/>
        <w:widowControl w:val="0"/>
        <w:tabs>
          <w:tab w:val="right" w:leader="dot" w:pos="7560"/>
        </w:tabs>
        <w:kinsoku/>
        <w:wordWrap/>
        <w:overflowPunct/>
        <w:topLinePunct w:val="0"/>
        <w:autoSpaceDE/>
        <w:autoSpaceDN/>
        <w:bidi w:val="0"/>
        <w:adjustRightInd w:val="0"/>
        <w:snapToGrid w:val="0"/>
        <w:spacing w:before="0" w:line="440" w:lineRule="exact"/>
        <w:ind w:left="480"/>
        <w:jc w:val="left"/>
        <w:textAlignment w:val="auto"/>
        <w:rPr>
          <w:rFonts w:hint="default" w:eastAsiaTheme="minorEastAsia"/>
          <w:lang w:val="en-US" w:eastAsia="zh-CN"/>
        </w:rPr>
      </w:pPr>
      <w:r>
        <w:rPr>
          <w:rFonts w:hint="eastAsia" w:asciiTheme="minorEastAsia" w:hAnsiTheme="minorEastAsia" w:eastAsiaTheme="minorEastAsia" w:cstheme="minorEastAsia"/>
          <w:sz w:val="24"/>
        </w:rPr>
        <w:t>三、机构设置情况</w:t>
      </w:r>
      <w:r>
        <w:rPr>
          <w:rFonts w:hint="eastAsia" w:asciiTheme="minorEastAsia" w:hAnsiTheme="minorEastAsia" w:eastAsiaTheme="minorEastAsia" w:cstheme="minorEastAsia"/>
          <w:sz w:val="24"/>
          <w:lang w:val="en-US" w:eastAsia="zh-CN"/>
        </w:rPr>
        <w:tab/>
        <w:t>4</w:t>
      </w:r>
    </w:p>
    <w:p>
      <w:pPr>
        <w:pStyle w:val="10"/>
        <w:keepNext w:val="0"/>
        <w:keepLines w:val="0"/>
        <w:pageBreakBefore w:val="0"/>
        <w:widowControl w:val="0"/>
        <w:tabs>
          <w:tab w:val="right" w:leader="dot" w:pos="7560"/>
        </w:tabs>
        <w:kinsoku/>
        <w:wordWrap/>
        <w:overflowPunct/>
        <w:topLinePunct w:val="0"/>
        <w:autoSpaceDE/>
        <w:autoSpaceDN/>
        <w:bidi w:val="0"/>
        <w:adjustRightInd w:val="0"/>
        <w:snapToGrid w:val="0"/>
        <w:spacing w:before="0" w:line="440" w:lineRule="exact"/>
        <w:jc w:val="left"/>
        <w:textAlignment w:val="auto"/>
        <w:rPr>
          <w:rFonts w:hint="default" w:eastAsia="仿宋"/>
          <w:sz w:val="28"/>
          <w:szCs w:val="28"/>
          <w:lang w:val="en-US" w:eastAsia="zh-CN"/>
        </w:rPr>
      </w:pPr>
      <w:r>
        <w:rPr>
          <w:rFonts w:hint="eastAsia"/>
          <w:sz w:val="28"/>
          <w:szCs w:val="28"/>
        </w:rPr>
        <w:t>第二部分 2021年度单位决算情况说明</w:t>
      </w:r>
      <w:r>
        <w:rPr>
          <w:rFonts w:hint="eastAsia"/>
          <w:sz w:val="24"/>
          <w:szCs w:val="24"/>
          <w:lang w:val="en-US" w:eastAsia="zh-CN"/>
        </w:rPr>
        <w:tab/>
        <w:t>5</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ab/>
      </w:r>
      <w:r>
        <w:rPr>
          <w:rFonts w:hint="eastAsia" w:ascii="宋体" w:hAnsi="宋体" w:eastAsia="宋体" w:cs="宋体"/>
          <w:sz w:val="24"/>
          <w:lang w:val="en-US" w:eastAsia="zh-CN"/>
        </w:rPr>
        <w:t>5</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ab/>
      </w:r>
      <w:r>
        <w:rPr>
          <w:rFonts w:hint="eastAsia" w:ascii="宋体" w:hAnsi="宋体" w:eastAsia="宋体" w:cs="宋体"/>
          <w:sz w:val="24"/>
          <w:lang w:val="en-US" w:eastAsia="zh-CN"/>
        </w:rPr>
        <w:t>5</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ab/>
      </w:r>
      <w:r>
        <w:rPr>
          <w:rFonts w:hint="eastAsia" w:ascii="宋体" w:hAnsi="宋体" w:eastAsia="宋体" w:cs="宋体"/>
          <w:sz w:val="24"/>
          <w:lang w:val="en-US" w:eastAsia="zh-CN"/>
        </w:rPr>
        <w:t>6</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ab/>
      </w:r>
      <w:r>
        <w:rPr>
          <w:rFonts w:hint="eastAsia" w:ascii="宋体" w:hAnsi="宋体" w:eastAsia="宋体" w:cs="宋体"/>
          <w:sz w:val="24"/>
          <w:lang w:val="en-US" w:eastAsia="zh-CN"/>
        </w:rPr>
        <w:t>6</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ab/>
      </w:r>
      <w:r>
        <w:rPr>
          <w:rFonts w:hint="eastAsia" w:ascii="宋体" w:hAnsi="宋体" w:eastAsia="宋体" w:cs="宋体"/>
          <w:sz w:val="24"/>
          <w:lang w:val="en-US" w:eastAsia="zh-CN"/>
        </w:rPr>
        <w:t>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ab/>
      </w:r>
      <w:r>
        <w:rPr>
          <w:rFonts w:hint="eastAsia" w:ascii="宋体" w:hAnsi="宋体" w:eastAsia="宋体" w:cs="宋体"/>
          <w:sz w:val="24"/>
          <w:lang w:val="en-US" w:eastAsia="zh-CN"/>
        </w:rPr>
        <w:t>10</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ab/>
      </w:r>
      <w:r>
        <w:rPr>
          <w:rFonts w:hint="eastAsia" w:ascii="宋体" w:hAnsi="宋体" w:eastAsia="宋体" w:cs="宋体"/>
          <w:sz w:val="24"/>
          <w:lang w:val="en-US" w:eastAsia="zh-CN"/>
        </w:rPr>
        <w:t>11</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ab/>
      </w:r>
      <w:r>
        <w:rPr>
          <w:rFonts w:hint="eastAsia" w:ascii="宋体" w:hAnsi="宋体" w:eastAsia="宋体" w:cs="宋体"/>
          <w:sz w:val="24"/>
          <w:lang w:val="en-US" w:eastAsia="zh-CN"/>
        </w:rPr>
        <w:t>12</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九、国有资本经营预算支出决算情况说明.</w:t>
      </w:r>
      <w:r>
        <w:rPr>
          <w:rFonts w:hint="eastAsia"/>
          <w:sz w:val="24"/>
          <w:lang w:val="en-US" w:eastAsia="zh-CN"/>
        </w:rPr>
        <w:tab/>
      </w:r>
      <w:r>
        <w:rPr>
          <w:rFonts w:hint="eastAsia" w:ascii="宋体" w:hAnsi="宋体" w:eastAsia="宋体" w:cs="宋体"/>
          <w:sz w:val="24"/>
          <w:lang w:val="en-US" w:eastAsia="zh-CN"/>
        </w:rPr>
        <w:t>12</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十、其他重要事项的情况说明</w:t>
      </w:r>
      <w:r>
        <w:rPr>
          <w:rFonts w:hint="eastAsia"/>
          <w:sz w:val="24"/>
          <w:lang w:val="en-US" w:eastAsia="zh-CN"/>
        </w:rPr>
        <w:tab/>
      </w:r>
      <w:r>
        <w:rPr>
          <w:rFonts w:hint="eastAsia" w:ascii="宋体" w:hAnsi="宋体" w:eastAsia="宋体" w:cs="宋体"/>
          <w:sz w:val="24"/>
          <w:lang w:val="en-US" w:eastAsia="zh-CN"/>
        </w:rPr>
        <w:t>13</w:t>
      </w:r>
    </w:p>
    <w:p>
      <w:pPr>
        <w:pStyle w:val="10"/>
        <w:keepNext w:val="0"/>
        <w:keepLines w:val="0"/>
        <w:pageBreakBefore w:val="0"/>
        <w:widowControl w:val="0"/>
        <w:tabs>
          <w:tab w:val="right" w:leader="dot" w:pos="756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8"/>
          <w:szCs w:val="28"/>
          <w:lang w:val="en-US" w:eastAsia="zh-CN"/>
        </w:rPr>
      </w:pPr>
      <w:r>
        <w:rPr>
          <w:rFonts w:hint="eastAsia"/>
          <w:sz w:val="28"/>
          <w:szCs w:val="28"/>
        </w:rPr>
        <w:t>第三部分名词解释</w:t>
      </w:r>
      <w:r>
        <w:rPr>
          <w:rFonts w:hint="eastAsia"/>
          <w:sz w:val="24"/>
          <w:szCs w:val="24"/>
          <w:lang w:val="en-US" w:eastAsia="zh-CN"/>
        </w:rPr>
        <w:tab/>
        <w:t>14</w:t>
      </w:r>
    </w:p>
    <w:p>
      <w:pPr>
        <w:pStyle w:val="10"/>
        <w:keepNext w:val="0"/>
        <w:keepLines w:val="0"/>
        <w:pageBreakBefore w:val="0"/>
        <w:widowControl w:val="0"/>
        <w:tabs>
          <w:tab w:val="right" w:leader="dot" w:pos="7560"/>
        </w:tabs>
        <w:kinsoku/>
        <w:wordWrap/>
        <w:overflowPunct/>
        <w:topLinePunct w:val="0"/>
        <w:autoSpaceDE/>
        <w:autoSpaceDN/>
        <w:bidi w:val="0"/>
        <w:adjustRightInd w:val="0"/>
        <w:snapToGrid w:val="0"/>
        <w:spacing w:before="0" w:line="440" w:lineRule="exact"/>
        <w:jc w:val="left"/>
        <w:textAlignment w:val="auto"/>
        <w:rPr>
          <w:rFonts w:hint="default" w:eastAsia="仿宋"/>
          <w:sz w:val="28"/>
          <w:szCs w:val="28"/>
          <w:lang w:val="en-US" w:eastAsia="zh-CN"/>
        </w:rPr>
      </w:pPr>
      <w:r>
        <w:rPr>
          <w:rFonts w:hint="eastAsia"/>
          <w:sz w:val="28"/>
          <w:szCs w:val="28"/>
        </w:rPr>
        <w:t>第四部分</w:t>
      </w:r>
      <w:r>
        <w:rPr>
          <w:rFonts w:hint="eastAsia"/>
          <w:sz w:val="28"/>
          <w:szCs w:val="28"/>
          <w:lang w:val="en-US" w:eastAsia="zh-CN"/>
        </w:rPr>
        <w:t xml:space="preserve"> </w:t>
      </w:r>
      <w:r>
        <w:rPr>
          <w:rFonts w:hint="eastAsia"/>
          <w:sz w:val="28"/>
          <w:szCs w:val="28"/>
        </w:rPr>
        <w:t>附件</w:t>
      </w:r>
      <w:r>
        <w:rPr>
          <w:rFonts w:hint="eastAsia"/>
          <w:sz w:val="24"/>
          <w:szCs w:val="24"/>
          <w:lang w:val="en-US" w:eastAsia="zh-CN"/>
        </w:rPr>
        <w:tab/>
        <w:t>16</w:t>
      </w:r>
    </w:p>
    <w:p>
      <w:pPr>
        <w:pStyle w:val="10"/>
        <w:keepNext w:val="0"/>
        <w:keepLines w:val="0"/>
        <w:pageBreakBefore w:val="0"/>
        <w:widowControl w:val="0"/>
        <w:tabs>
          <w:tab w:val="right" w:leader="dot" w:pos="7560"/>
        </w:tabs>
        <w:kinsoku/>
        <w:wordWrap/>
        <w:overflowPunct/>
        <w:topLinePunct w:val="0"/>
        <w:autoSpaceDE/>
        <w:autoSpaceDN/>
        <w:bidi w:val="0"/>
        <w:adjustRightInd w:val="0"/>
        <w:snapToGrid w:val="0"/>
        <w:spacing w:before="0" w:line="440" w:lineRule="exact"/>
        <w:jc w:val="left"/>
        <w:textAlignment w:val="auto"/>
        <w:rPr>
          <w:rFonts w:hint="default" w:eastAsia="仿宋" w:cstheme="minorBidi"/>
          <w:sz w:val="28"/>
          <w:szCs w:val="28"/>
          <w:lang w:val="en-US" w:eastAsia="zh-CN"/>
        </w:rPr>
      </w:pPr>
      <w:r>
        <w:rPr>
          <w:rFonts w:hint="eastAsia"/>
          <w:sz w:val="28"/>
          <w:szCs w:val="28"/>
        </w:rPr>
        <w:t>第五部分</w:t>
      </w:r>
      <w:r>
        <w:rPr>
          <w:rFonts w:hint="eastAsia"/>
          <w:sz w:val="28"/>
          <w:szCs w:val="28"/>
          <w:lang w:val="en-US" w:eastAsia="zh-CN"/>
        </w:rPr>
        <w:t xml:space="preserve"> </w:t>
      </w:r>
      <w:r>
        <w:rPr>
          <w:rFonts w:hint="eastAsia"/>
          <w:sz w:val="28"/>
          <w:szCs w:val="28"/>
        </w:rPr>
        <w:t>附表</w:t>
      </w:r>
      <w:r>
        <w:rPr>
          <w:rFonts w:hint="eastAsia"/>
          <w:sz w:val="24"/>
          <w:szCs w:val="24"/>
          <w:lang w:val="en-US" w:eastAsia="zh-CN"/>
        </w:rPr>
        <w:tab/>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一、收入支出决算总表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二、收入决算表</w:t>
      </w:r>
      <w:r>
        <w:rPr>
          <w:rFonts w:hint="eastAsia"/>
          <w:sz w:val="24"/>
          <w:lang w:val="en-US" w:eastAsia="zh-CN"/>
        </w:rPr>
        <w:tab/>
      </w:r>
      <w:r>
        <w:rPr>
          <w:rFonts w:hint="eastAsia" w:ascii="宋体" w:hAnsi="宋体" w:eastAsia="宋体" w:cs="宋体"/>
          <w:sz w:val="24"/>
          <w:lang w:val="en-US" w:eastAsia="zh-CN"/>
        </w:rPr>
        <w:t>1</w:t>
      </w:r>
      <w:bookmarkStart w:id="67" w:name="_GoBack"/>
      <w:bookmarkEnd w:id="67"/>
      <w:r>
        <w:rPr>
          <w:rFonts w:hint="eastAsia" w:ascii="宋体" w:hAnsi="宋体" w:eastAsia="宋体" w:cs="宋体"/>
          <w:sz w:val="24"/>
          <w:lang w:val="en-US" w:eastAsia="zh-CN"/>
        </w:rPr>
        <w:t>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三、支出决算表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四、财政拨款收入支出决算总表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五、财政拨款支出决算明细表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六、一般公共预算财政拨款支出决算表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七、一般公共预算财政拨款支出决算明细表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八、一般公共预算财政拨款基本支出决算表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九、一般公共预算财政拨款项目支出决算表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十、一般公共预算财政拨款“三公”经费支出决算表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十一、政府性基金预算财政拨款收入支出决算表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十二、政府性基金预算财政拨款“三公”经费支出决算表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十三、国有资本经营预算财政拨款收入支出决算表</w:t>
      </w:r>
      <w:r>
        <w:rPr>
          <w:rFonts w:hint="eastAsia"/>
          <w:sz w:val="24"/>
          <w:lang w:val="en-US" w:eastAsia="zh-CN"/>
        </w:rPr>
        <w:tab/>
      </w:r>
      <w:r>
        <w:rPr>
          <w:rFonts w:hint="eastAsia" w:ascii="宋体" w:hAnsi="宋体" w:eastAsia="宋体" w:cs="宋体"/>
          <w:sz w:val="24"/>
          <w:lang w:val="en-US" w:eastAsia="zh-CN"/>
        </w:rPr>
        <w:t>17</w:t>
      </w:r>
    </w:p>
    <w:p>
      <w:pPr>
        <w:pStyle w:val="11"/>
        <w:keepNext w:val="0"/>
        <w:keepLines w:val="0"/>
        <w:pageBreakBefore w:val="0"/>
        <w:widowControl w:val="0"/>
        <w:tabs>
          <w:tab w:val="right" w:leader="dot" w:pos="7560"/>
        </w:tabs>
        <w:kinsoku/>
        <w:wordWrap/>
        <w:overflowPunct/>
        <w:topLinePunct w:val="0"/>
        <w:autoSpaceDE/>
        <w:autoSpaceDN/>
        <w:bidi w:val="0"/>
        <w:adjustRightInd w:val="0"/>
        <w:snapToGrid w:val="0"/>
        <w:spacing w:line="440" w:lineRule="exact"/>
        <w:jc w:val="left"/>
        <w:textAlignment w:val="auto"/>
        <w:rPr>
          <w:rFonts w:hint="default" w:eastAsia="宋体"/>
          <w:sz w:val="24"/>
          <w:lang w:val="en-US" w:eastAsia="zh-CN"/>
        </w:rPr>
      </w:pPr>
      <w:r>
        <w:rPr>
          <w:rFonts w:hint="eastAsia"/>
          <w:sz w:val="24"/>
        </w:rPr>
        <w:t>十四、国有资本经营预算财政拨款支出决算表</w:t>
      </w:r>
      <w:r>
        <w:rPr>
          <w:rFonts w:hint="eastAsia"/>
          <w:sz w:val="24"/>
          <w:lang w:val="en-US" w:eastAsia="zh-CN"/>
        </w:rPr>
        <w:tab/>
      </w:r>
      <w:r>
        <w:rPr>
          <w:rFonts w:hint="eastAsia" w:ascii="宋体" w:hAnsi="宋体" w:eastAsia="宋体" w:cs="宋体"/>
          <w:sz w:val="24"/>
          <w:lang w:val="en-US" w:eastAsia="zh-CN"/>
        </w:rPr>
        <w:t>17</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Fonts w:ascii="黑体" w:eastAsia="黑体"/>
          <w:sz w:val="32"/>
          <w:szCs w:val="32"/>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numPr>
          <w:ilvl w:val="0"/>
          <w:numId w:val="1"/>
        </w:numPr>
        <w:spacing w:line="560" w:lineRule="exact"/>
      </w:pPr>
      <w:bookmarkStart w:id="14" w:name="_Toc15377197"/>
      <w:bookmarkStart w:id="15" w:name="_Toc15396600"/>
      <w:r>
        <w:rPr>
          <w:rStyle w:val="26"/>
          <w:rFonts w:hint="eastAsia" w:ascii="黑体" w:hAnsi="黑体" w:eastAsia="黑体"/>
          <w:b w:val="0"/>
          <w:bCs w:val="0"/>
        </w:rPr>
        <w:t>职能简介</w:t>
      </w:r>
    </w:p>
    <w:p>
      <w:pPr>
        <w:pStyle w:val="12"/>
        <w:widowControl/>
        <w:spacing w:before="76" w:beforeAutospacing="0" w:after="76" w:afterAutospacing="0" w:line="560" w:lineRule="exact"/>
        <w:ind w:firstLine="640" w:firstLineChars="200"/>
        <w:textAlignment w:val="baseline"/>
        <w:rPr>
          <w:rFonts w:eastAsia="仿宋"/>
          <w:b/>
          <w:bCs/>
          <w:color w:val="FF0000"/>
        </w:rPr>
      </w:pPr>
      <w:r>
        <w:rPr>
          <w:rFonts w:hint="eastAsia" w:ascii="仿宋" w:hAnsi="仿宋" w:eastAsia="仿宋" w:cs="仿宋"/>
          <w:kern w:val="2"/>
          <w:sz w:val="32"/>
          <w:szCs w:val="32"/>
        </w:rPr>
        <w:t>宜宾监狱管理科作为四川省监狱管理局的直属派出机构，具有维护社会稳定的职能。宜宾监狱管理科坚持以习近平新时代中国特色社会主义思想为指导，认真落实四川省《监狱管理规范》地方标准，深化内部管理，建立健全管理制度；深化精细化管理，确保民警恪尽职守，履职尽责；深化创新发展，确保各项工作不断取得新的成绩。切实担负起时代重任，奋力新作为，实现新发展，为建设美丽繁荣和谐四川，推动治蜀兴川再上新台阶作出新的更大的贡献。</w:t>
      </w:r>
    </w:p>
    <w:p>
      <w:pPr>
        <w:pStyle w:val="4"/>
        <w:numPr>
          <w:ilvl w:val="0"/>
          <w:numId w:val="1"/>
        </w:numPr>
        <w:spacing w:line="560" w:lineRule="exact"/>
        <w:rPr>
          <w:rFonts w:ascii="黑体" w:hAnsi="黑体" w:eastAsia="黑体"/>
          <w:b w:val="0"/>
        </w:rPr>
      </w:pPr>
      <w:r>
        <w:rPr>
          <w:rFonts w:hint="eastAsia" w:ascii="黑体" w:hAnsi="黑体" w:eastAsia="黑体"/>
          <w:b w:val="0"/>
        </w:rPr>
        <w:t>2021年重点工作</w:t>
      </w:r>
      <w:bookmarkEnd w:id="14"/>
      <w:bookmarkEnd w:id="15"/>
      <w:r>
        <w:rPr>
          <w:rFonts w:hint="eastAsia" w:ascii="黑体" w:hAnsi="黑体" w:eastAsia="黑体"/>
          <w:b w:val="0"/>
        </w:rPr>
        <w:t>完成情况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在省监狱管理局的坚强领导下，重点完成的工作任务：一是紧扣省局总体工作部署，充分发挥职能作用，协助职能部门对辖区监狱开展执法监督，安全监督，处置突发事件和疫情防控等工作；二是全力协调辖区监狱与地方的联系，积极协助开展狱地共建工作，服务司法行政法制建设；三是紧密结合监狱工作发展实际，紧扣地方司法行政发展要求，加强调查研究和信息反馈；四是承担省监狱管理局交办的其他工作。</w:t>
      </w:r>
    </w:p>
    <w:p>
      <w:pPr>
        <w:pStyle w:val="2"/>
        <w:spacing w:before="93" w:line="560" w:lineRule="exact"/>
        <w:rPr>
          <w:rFonts w:ascii="黑体" w:hAnsi="黑体" w:eastAsia="黑体" w:cs="黑体"/>
          <w:sz w:val="32"/>
          <w:szCs w:val="32"/>
        </w:rPr>
      </w:pPr>
      <w:r>
        <w:rPr>
          <w:rFonts w:hint="eastAsia" w:ascii="黑体" w:hAnsi="黑体" w:eastAsia="黑体" w:cs="黑体"/>
          <w:sz w:val="32"/>
          <w:szCs w:val="32"/>
        </w:rPr>
        <w:t>三、机构设置情况</w:t>
      </w:r>
    </w:p>
    <w:p>
      <w:pPr>
        <w:pStyle w:val="2"/>
        <w:spacing w:before="93" w:line="560" w:lineRule="exact"/>
        <w:rPr>
          <w:rFonts w:hAnsi="仿宋_GB2312" w:cs="仿宋_GB2312"/>
          <w:b/>
          <w:bCs/>
          <w:color w:val="0000FF"/>
          <w:sz w:val="32"/>
          <w:szCs w:val="32"/>
          <w:highlight w:val="yellow"/>
        </w:rPr>
      </w:pPr>
      <w:r>
        <w:rPr>
          <w:rFonts w:hint="eastAsia" w:ascii="仿宋" w:hAnsi="仿宋" w:eastAsia="仿宋" w:cs="仿宋"/>
          <w:sz w:val="32"/>
          <w:szCs w:val="32"/>
        </w:rPr>
        <w:t xml:space="preserve">    宜宾监狱管理科由3个内设机构组成，分别是办公室、财务室、政工室组成。</w:t>
      </w:r>
    </w:p>
    <w:p>
      <w:pPr>
        <w:pStyle w:val="3"/>
        <w:ind w:right="440"/>
        <w:jc w:val="center"/>
        <w:rPr>
          <w:rFonts w:asciiTheme="majorEastAsia" w:hAnsiTheme="majorEastAsia" w:eastAsiaTheme="majorEastAsia"/>
          <w:sz w:val="10"/>
          <w:szCs w:val="10"/>
        </w:rPr>
      </w:pPr>
      <w:bookmarkStart w:id="16" w:name="_Toc15396602"/>
      <w:bookmarkStart w:id="17" w:name="_Toc15377204"/>
      <w:r>
        <w:rPr>
          <w:rFonts w:hint="eastAsia" w:ascii="黑体" w:hAnsi="黑体" w:eastAsia="黑体"/>
          <w:b w:val="0"/>
        </w:rPr>
        <w:t>第二部分 2021年度单位</w:t>
      </w:r>
      <w:r>
        <w:rPr>
          <w:rStyle w:val="25"/>
          <w:rFonts w:hint="eastAsia" w:ascii="黑体" w:hAnsi="黑体" w:eastAsia="黑体"/>
          <w:b w:val="0"/>
          <w:bCs/>
        </w:rPr>
        <w:t>决算情况说明</w:t>
      </w:r>
      <w:bookmarkEnd w:id="16"/>
      <w:bookmarkEnd w:id="17"/>
    </w:p>
    <w:p>
      <w:pPr>
        <w:pStyle w:val="24"/>
        <w:numPr>
          <w:ilvl w:val="0"/>
          <w:numId w:val="2"/>
        </w:numPr>
        <w:spacing w:line="600" w:lineRule="exact"/>
        <w:ind w:firstLineChars="0"/>
        <w:outlineLvl w:val="1"/>
        <w:rPr>
          <w:rStyle w:val="26"/>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w:t>
      </w:r>
      <w:r>
        <w:rPr>
          <w:rFonts w:hint="eastAsia" w:ascii="仿宋" w:hAnsi="仿宋" w:eastAsia="仿宋" w:cs="仿宋"/>
          <w:sz w:val="32"/>
          <w:szCs w:val="32"/>
        </w:rPr>
        <w:t>157.53万元</w:t>
      </w:r>
      <w:r>
        <w:rPr>
          <w:rFonts w:hint="eastAsia" w:ascii="仿宋_GB2312" w:hAnsi="仿宋_GB2312" w:eastAsia="仿宋_GB2312" w:cs="仿宋_GB2312"/>
          <w:sz w:val="32"/>
          <w:szCs w:val="32"/>
        </w:rPr>
        <w:t>（总收入含年初结转结余，总支出含年末结转结余）。</w:t>
      </w:r>
      <w:r>
        <w:rPr>
          <w:rFonts w:hint="eastAsia" w:ascii="仿宋" w:hAnsi="仿宋" w:eastAsia="仿宋"/>
          <w:sz w:val="32"/>
          <w:szCs w:val="32"/>
        </w:rPr>
        <w:t>与2020年相比，</w:t>
      </w:r>
      <w:r>
        <w:rPr>
          <w:rFonts w:hint="eastAsia" w:ascii="仿宋" w:hAnsi="仿宋" w:eastAsia="仿宋" w:cs="仿宋"/>
          <w:sz w:val="32"/>
          <w:szCs w:val="32"/>
        </w:rPr>
        <w:t>增加了15.14万元,增长10.6%</w:t>
      </w:r>
      <w:r>
        <w:rPr>
          <w:rFonts w:hint="eastAsia" w:ascii="仿宋" w:hAnsi="仿宋" w:eastAsia="仿宋"/>
          <w:sz w:val="32"/>
          <w:szCs w:val="32"/>
        </w:rPr>
        <w:t>。主要变动原因:</w:t>
      </w:r>
      <w:r>
        <w:rPr>
          <w:rFonts w:hint="eastAsia" w:ascii="仿宋" w:hAnsi="仿宋" w:eastAsia="仿宋" w:cs="仿宋"/>
          <w:sz w:val="32"/>
          <w:szCs w:val="32"/>
        </w:rPr>
        <w:t>2021年在职人员绩效奖、考核奖和退休人员生活补助增加了22.62万元</w:t>
      </w:r>
      <w:r>
        <w:rPr>
          <w:rFonts w:hint="eastAsia" w:ascii="仿宋" w:hAnsi="仿宋" w:eastAsia="仿宋"/>
          <w:sz w:val="32"/>
          <w:szCs w:val="32"/>
        </w:rPr>
        <w:t>。</w:t>
      </w:r>
    </w:p>
    <w:p>
      <w:pPr>
        <w:pStyle w:val="2"/>
        <w:spacing w:before="93"/>
        <w:ind w:right="325" w:rightChars="155"/>
      </w:pPr>
      <w:r>
        <w:rPr>
          <w:rFonts w:hint="eastAsia"/>
        </w:rPr>
        <w:t xml:space="preserve">     </w:t>
      </w:r>
      <w:r>
        <w:drawing>
          <wp:inline distT="0" distB="0" distL="0" distR="0">
            <wp:extent cx="5274310" cy="3017520"/>
            <wp:effectExtent l="0" t="0" r="254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pStyle w:val="2"/>
        <w:spacing w:before="93"/>
        <w:ind w:firstLine="640" w:firstLineChars="200"/>
        <w:rPr>
          <w:rFonts w:ascii="仿宋" w:hAnsi="仿宋" w:eastAsia="仿宋" w:cs="仿宋"/>
          <w:sz w:val="32"/>
          <w:szCs w:val="32"/>
        </w:rPr>
      </w:pPr>
      <w:r>
        <w:rPr>
          <w:rFonts w:ascii="仿宋" w:hAnsi="仿宋" w:eastAsia="仿宋"/>
          <w:sz w:val="32"/>
          <w:szCs w:val="32"/>
        </w:rPr>
        <w:t>20</w:t>
      </w:r>
      <w:r>
        <w:rPr>
          <w:rFonts w:hint="eastAsia" w:ascii="仿宋" w:hAnsi="仿宋" w:eastAsia="仿宋"/>
          <w:sz w:val="32"/>
          <w:szCs w:val="32"/>
        </w:rPr>
        <w:t>21年本年收入合计</w:t>
      </w:r>
      <w:r>
        <w:rPr>
          <w:rFonts w:hint="eastAsia" w:ascii="仿宋" w:hAnsi="仿宋" w:eastAsia="仿宋" w:cs="仿宋"/>
          <w:sz w:val="32"/>
          <w:szCs w:val="32"/>
        </w:rPr>
        <w:t>157.53万元</w:t>
      </w:r>
      <w:r>
        <w:rPr>
          <w:rFonts w:hint="eastAsia" w:hAnsi="仿宋_GB2312" w:cs="仿宋_GB2312"/>
          <w:sz w:val="32"/>
          <w:szCs w:val="32"/>
        </w:rPr>
        <w:t>（不含年初结转结余），其中：</w:t>
      </w:r>
      <w:r>
        <w:rPr>
          <w:rFonts w:hint="eastAsia" w:ascii="仿宋" w:hAnsi="仿宋" w:eastAsia="仿宋"/>
          <w:sz w:val="32"/>
          <w:szCs w:val="32"/>
        </w:rPr>
        <w:t>一般公共预算财政拨款收入1</w:t>
      </w:r>
      <w:r>
        <w:rPr>
          <w:rFonts w:ascii="仿宋" w:hAnsi="仿宋" w:eastAsia="仿宋"/>
          <w:sz w:val="32"/>
          <w:szCs w:val="32"/>
        </w:rPr>
        <w:t>57.53</w:t>
      </w:r>
      <w:r>
        <w:rPr>
          <w:rFonts w:hint="eastAsia" w:ascii="仿宋" w:hAnsi="仿宋" w:eastAsia="仿宋"/>
          <w:sz w:val="32"/>
          <w:szCs w:val="32"/>
        </w:rPr>
        <w:t>万元，占1</w:t>
      </w:r>
      <w:r>
        <w:rPr>
          <w:rFonts w:ascii="仿宋" w:hAnsi="仿宋" w:eastAsia="仿宋"/>
          <w:sz w:val="32"/>
          <w:szCs w:val="32"/>
        </w:rPr>
        <w:t>00%</w:t>
      </w:r>
      <w:r>
        <w:rPr>
          <w:rFonts w:hint="eastAsia" w:ascii="仿宋" w:hAnsi="仿宋" w:eastAsia="仿宋" w:cs="仿宋"/>
          <w:sz w:val="32"/>
          <w:szCs w:val="32"/>
        </w:rPr>
        <w:t>。</w:t>
      </w:r>
    </w:p>
    <w:p>
      <w:pPr>
        <w:pStyle w:val="2"/>
        <w:spacing w:before="93"/>
        <w:ind w:firstLine="420" w:firstLineChars="200"/>
      </w:pPr>
      <w:r>
        <w:rPr>
          <w:rFonts w:ascii="Times New Roman" w:eastAsia="宋体"/>
          <w:kern w:val="2"/>
          <w:sz w:val="21"/>
        </w:rPr>
        <w:drawing>
          <wp:inline distT="0" distB="0" distL="0" distR="0">
            <wp:extent cx="5274310" cy="2004060"/>
            <wp:effectExtent l="0" t="0" r="2540" b="1524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ind w:firstLine="600" w:firstLineChars="200"/>
      </w:pPr>
    </w:p>
    <w:p>
      <w:pPr>
        <w:pStyle w:val="24"/>
        <w:numPr>
          <w:ilvl w:val="0"/>
          <w:numId w:val="2"/>
        </w:numPr>
        <w:spacing w:line="600" w:lineRule="exact"/>
        <w:ind w:firstLineChars="0"/>
        <w:outlineLvl w:val="1"/>
        <w:rPr>
          <w:rStyle w:val="26"/>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21年本年支出合计</w:t>
      </w:r>
      <w:r>
        <w:rPr>
          <w:rFonts w:hint="eastAsia" w:ascii="仿宋" w:hAnsi="仿宋" w:eastAsia="仿宋" w:cs="仿宋"/>
          <w:sz w:val="32"/>
          <w:szCs w:val="32"/>
        </w:rPr>
        <w:t>157.53</w:t>
      </w:r>
      <w:r>
        <w:rPr>
          <w:rFonts w:hint="eastAsia" w:ascii="仿宋" w:hAnsi="仿宋" w:eastAsia="仿宋"/>
          <w:sz w:val="32"/>
          <w:szCs w:val="32"/>
        </w:rPr>
        <w:t>万元</w:t>
      </w:r>
      <w:r>
        <w:rPr>
          <w:rFonts w:hint="eastAsia" w:ascii="仿宋_GB2312" w:hAnsi="仿宋_GB2312" w:eastAsia="仿宋_GB2312" w:cs="仿宋_GB2312"/>
          <w:sz w:val="32"/>
          <w:szCs w:val="32"/>
        </w:rPr>
        <w:t>（不含年末结转结余）</w:t>
      </w:r>
      <w:r>
        <w:rPr>
          <w:rFonts w:hint="eastAsia" w:ascii="仿宋" w:hAnsi="仿宋" w:eastAsia="仿宋"/>
          <w:sz w:val="32"/>
          <w:szCs w:val="32"/>
        </w:rPr>
        <w:t>，其中：基本支出148.89万元，占94.5%；项目支出8.64万元，占5.5%。</w:t>
      </w:r>
    </w:p>
    <w:p>
      <w:pPr>
        <w:pStyle w:val="2"/>
        <w:spacing w:before="93"/>
      </w:pPr>
      <w:r>
        <w:drawing>
          <wp:inline distT="0" distB="0" distL="0" distR="0">
            <wp:extent cx="5274310" cy="2625725"/>
            <wp:effectExtent l="0" t="0" r="2540" b="31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hint="eastAsia"/>
        </w:rPr>
        <w:t xml:space="preserve">     </w:t>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bCs w:val="0"/>
        </w:rPr>
        <w:t>政拨款</w:t>
      </w:r>
      <w:r>
        <w:rPr>
          <w:rStyle w:val="26"/>
          <w:rFonts w:hint="eastAsia" w:ascii="黑体" w:hAnsi="黑体" w:eastAsia="黑体"/>
          <w:b w:val="0"/>
        </w:rPr>
        <w:t>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w:t>
      </w:r>
      <w:r>
        <w:rPr>
          <w:rFonts w:hint="eastAsia" w:ascii="仿宋" w:hAnsi="仿宋" w:eastAsia="仿宋" w:cs="仿宋"/>
          <w:sz w:val="32"/>
          <w:szCs w:val="32"/>
        </w:rPr>
        <w:t>157.53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20年相比，财政拨款收、支总计各</w:t>
      </w:r>
      <w:r>
        <w:rPr>
          <w:rFonts w:hint="eastAsia" w:ascii="仿宋" w:hAnsi="仿宋" w:eastAsia="仿宋" w:cs="仿宋"/>
          <w:sz w:val="32"/>
          <w:szCs w:val="32"/>
        </w:rPr>
        <w:t>增加了15.14万元,增长10.6%。</w:t>
      </w:r>
      <w:r>
        <w:rPr>
          <w:rFonts w:hint="eastAsia" w:ascii="仿宋" w:hAnsi="仿宋" w:eastAsia="仿宋"/>
          <w:sz w:val="32"/>
          <w:szCs w:val="32"/>
        </w:rPr>
        <w:t>主要变动原因是：</w:t>
      </w:r>
      <w:r>
        <w:rPr>
          <w:rFonts w:hint="eastAsia" w:ascii="仿宋" w:hAnsi="仿宋" w:eastAsia="仿宋" w:cs="仿宋"/>
          <w:sz w:val="32"/>
          <w:szCs w:val="32"/>
        </w:rPr>
        <w:t>2021年在职人员绩效奖、考核奖和退休人员生活补助增加了22.62万元</w:t>
      </w:r>
      <w:r>
        <w:rPr>
          <w:rFonts w:hint="eastAsia" w:ascii="仿宋" w:hAnsi="仿宋" w:eastAsia="仿宋"/>
          <w:sz w:val="32"/>
          <w:szCs w:val="32"/>
        </w:rPr>
        <w:t>。</w:t>
      </w:r>
    </w:p>
    <w:p>
      <w:pPr>
        <w:pStyle w:val="2"/>
        <w:spacing w:before="93"/>
      </w:pPr>
      <w:bookmarkStart w:id="26" w:name="_Toc15396607"/>
      <w:bookmarkStart w:id="27" w:name="_Toc15377209"/>
      <w:r>
        <w:rPr>
          <w:rFonts w:hint="eastAsia"/>
        </w:rPr>
        <w:t xml:space="preserve">      </w:t>
      </w:r>
    </w:p>
    <w:p>
      <w:pPr>
        <w:pStyle w:val="2"/>
        <w:spacing w:before="93"/>
      </w:pPr>
      <w:r>
        <w:drawing>
          <wp:inline distT="0" distB="0" distL="0" distR="0">
            <wp:extent cx="5383530" cy="3120390"/>
            <wp:effectExtent l="4445" t="4445" r="698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cs="仿宋"/>
          <w:sz w:val="32"/>
          <w:szCs w:val="32"/>
        </w:rPr>
        <w:t>157.53</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。与与</w:t>
      </w:r>
      <w:r>
        <w:rPr>
          <w:rFonts w:ascii="仿宋" w:hAnsi="仿宋" w:eastAsia="仿宋"/>
          <w:sz w:val="32"/>
          <w:szCs w:val="32"/>
        </w:rPr>
        <w:t>20</w:t>
      </w:r>
      <w:r>
        <w:rPr>
          <w:rFonts w:hint="eastAsia" w:ascii="仿宋" w:hAnsi="仿宋" w:eastAsia="仿宋"/>
          <w:sz w:val="32"/>
          <w:szCs w:val="32"/>
        </w:rPr>
        <w:t>20年相比，一般公共预算财政拨款</w:t>
      </w:r>
      <w:r>
        <w:rPr>
          <w:rFonts w:hint="eastAsia" w:ascii="仿宋" w:hAnsi="仿宋" w:eastAsia="仿宋" w:cs="仿宋"/>
          <w:sz w:val="32"/>
          <w:szCs w:val="32"/>
        </w:rPr>
        <w:t>增加了15.14万元,增长10.6%。2021年在职人员绩效奖、考核奖和退休人员生活补助增加了22.62万元</w:t>
      </w:r>
      <w:r>
        <w:rPr>
          <w:rFonts w:hint="eastAsia" w:ascii="仿宋" w:hAnsi="仿宋" w:eastAsia="仿宋"/>
          <w:sz w:val="32"/>
          <w:szCs w:val="32"/>
        </w:rPr>
        <w:t>。</w:t>
      </w:r>
    </w:p>
    <w:p>
      <w:pPr>
        <w:pStyle w:val="2"/>
        <w:spacing w:before="93"/>
      </w:pPr>
      <w:r>
        <w:rPr>
          <w:rFonts w:hint="eastAsia"/>
        </w:rPr>
        <w:t xml:space="preserve">      </w:t>
      </w:r>
      <w:r>
        <w:drawing>
          <wp:inline distT="0" distB="0" distL="0" distR="0">
            <wp:extent cx="5274310" cy="3176905"/>
            <wp:effectExtent l="0" t="0" r="2540" b="44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cs="仿宋"/>
          <w:sz w:val="32"/>
          <w:szCs w:val="32"/>
        </w:rPr>
        <w:t>157.53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公共安全</w:t>
      </w:r>
      <w:r>
        <w:rPr>
          <w:rFonts w:hint="eastAsia" w:ascii="仿宋" w:hAnsi="仿宋" w:eastAsia="仿宋"/>
          <w:b/>
          <w:bCs/>
          <w:sz w:val="32"/>
          <w:szCs w:val="32"/>
        </w:rPr>
        <w:t>支出</w:t>
      </w:r>
      <w:r>
        <w:rPr>
          <w:rFonts w:hint="eastAsia" w:ascii="仿宋" w:hAnsi="仿宋" w:eastAsia="仿宋"/>
          <w:b/>
          <w:sz w:val="32"/>
          <w:szCs w:val="32"/>
        </w:rPr>
        <w:t>（类）</w:t>
      </w:r>
      <w:r>
        <w:rPr>
          <w:rFonts w:hint="eastAsia" w:ascii="仿宋" w:hAnsi="仿宋" w:eastAsia="仿宋"/>
          <w:sz w:val="32"/>
          <w:szCs w:val="32"/>
        </w:rPr>
        <w:t>102.65万元占65.1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0.63万元，占0.4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社会保障和就业支出（类）</w:t>
      </w:r>
      <w:r>
        <w:rPr>
          <w:rFonts w:hint="eastAsia" w:ascii="仿宋" w:hAnsi="仿宋" w:eastAsia="仿宋"/>
          <w:sz w:val="32"/>
          <w:szCs w:val="32"/>
        </w:rPr>
        <w:t>41.57万元，占26.4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5.78万元，占3.7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住房保障支出6.90</w:t>
      </w:r>
      <w:r>
        <w:rPr>
          <w:rFonts w:hint="eastAsia" w:ascii="仿宋" w:hAnsi="仿宋" w:eastAsia="仿宋"/>
          <w:sz w:val="32"/>
          <w:szCs w:val="32"/>
        </w:rPr>
        <w:t>万元，占4.4</w:t>
      </w:r>
      <w:r>
        <w:rPr>
          <w:rFonts w:ascii="仿宋" w:hAnsi="仿宋" w:eastAsia="仿宋"/>
          <w:sz w:val="32"/>
          <w:szCs w:val="32"/>
        </w:rPr>
        <w:t>%</w:t>
      </w:r>
      <w:r>
        <w:rPr>
          <w:rFonts w:hint="eastAsia" w:ascii="仿宋" w:hAnsi="仿宋" w:eastAsia="仿宋"/>
          <w:sz w:val="32"/>
          <w:szCs w:val="32"/>
        </w:rPr>
        <w:t>。</w:t>
      </w:r>
    </w:p>
    <w:p>
      <w:pPr>
        <w:pStyle w:val="2"/>
        <w:spacing w:before="93"/>
      </w:pPr>
      <w:r>
        <w:rPr>
          <w:rFonts w:hint="eastAsia"/>
        </w:rPr>
        <w:t xml:space="preserve">    </w:t>
      </w:r>
      <w:r>
        <w:drawing>
          <wp:inline distT="0" distB="0" distL="0" distR="0">
            <wp:extent cx="4937125" cy="3124200"/>
            <wp:effectExtent l="0" t="0" r="1587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2021年一般公共预算支出决算数为</w:t>
      </w:r>
      <w:r>
        <w:rPr>
          <w:rFonts w:hint="eastAsia" w:ascii="仿宋" w:hAnsi="仿宋" w:eastAsia="仿宋" w:cs="仿宋"/>
          <w:sz w:val="32"/>
          <w:szCs w:val="32"/>
        </w:rPr>
        <w:t>157.53万元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Style w:val="15"/>
          <w:rFonts w:hint="eastAsia" w:ascii="仿宋" w:hAnsi="仿宋" w:eastAsia="仿宋" w:cs="仿宋"/>
          <w:color w:val="000000"/>
          <w:sz w:val="32"/>
          <w:szCs w:val="32"/>
        </w:rPr>
        <w:t>公共安全支出（类）监狱（款）行政运行（项）</w:t>
      </w:r>
      <w:r>
        <w:rPr>
          <w:rStyle w:val="15"/>
          <w:rFonts w:ascii="仿宋" w:hAnsi="仿宋" w:eastAsia="仿宋"/>
          <w:bCs/>
          <w:sz w:val="32"/>
          <w:szCs w:val="32"/>
        </w:rPr>
        <w:t>:</w:t>
      </w:r>
      <w:r>
        <w:rPr>
          <w:rStyle w:val="15"/>
          <w:rFonts w:hint="eastAsia" w:ascii="仿宋" w:hAnsi="仿宋" w:eastAsia="仿宋"/>
          <w:b w:val="0"/>
          <w:bCs/>
          <w:sz w:val="32"/>
          <w:szCs w:val="32"/>
        </w:rPr>
        <w:t>支出决算为102.65万元，完成预算98.1</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，决算数小于预算数的主要原因是：公务接待费用减少。</w:t>
      </w:r>
    </w:p>
    <w:p>
      <w:pPr>
        <w:spacing w:line="600" w:lineRule="exact"/>
        <w:ind w:firstLine="643" w:firstLineChars="200"/>
        <w:rPr>
          <w:rStyle w:val="15"/>
          <w:rFonts w:ascii="仿宋" w:hAnsi="仿宋" w:eastAsia="仿宋"/>
          <w:bCs/>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Style w:val="15"/>
          <w:rFonts w:hint="eastAsia" w:ascii="仿宋" w:hAnsi="仿宋" w:eastAsia="仿宋"/>
          <w:bCs/>
          <w:sz w:val="32"/>
          <w:szCs w:val="32"/>
        </w:rPr>
        <w:t>公共安全支出（类）监狱（款）一般行政管理事物（项）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支出决算为0.87万元，完成预算100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5"/>
          <w:rFonts w:hint="eastAsia" w:ascii="仿宋" w:hAnsi="仿宋" w:eastAsia="仿宋"/>
          <w:bCs/>
          <w:sz w:val="32"/>
          <w:szCs w:val="32"/>
        </w:rPr>
        <w:t>3.</w:t>
      </w:r>
      <w:r>
        <w:rPr>
          <w:rStyle w:val="15"/>
          <w:rFonts w:hint="eastAsia" w:ascii="仿宋" w:hAnsi="仿宋" w:eastAsia="仿宋" w:cs="仿宋"/>
          <w:sz w:val="32"/>
          <w:szCs w:val="32"/>
        </w:rPr>
        <w:t>教育支出（类）进修及培训（款）</w:t>
      </w:r>
      <w:r>
        <w:rPr>
          <w:rStyle w:val="15"/>
          <w:rFonts w:hint="eastAsia" w:ascii="仿宋" w:hAnsi="仿宋" w:eastAsia="仿宋" w:cs="仿宋"/>
          <w:color w:val="000000"/>
          <w:sz w:val="32"/>
          <w:szCs w:val="32"/>
        </w:rPr>
        <w:t>培训支出（项）：</w:t>
      </w:r>
      <w:r>
        <w:rPr>
          <w:rStyle w:val="15"/>
          <w:rFonts w:hint="eastAsia" w:ascii="仿宋" w:hAnsi="仿宋" w:eastAsia="仿宋"/>
          <w:b w:val="0"/>
          <w:bCs/>
          <w:sz w:val="32"/>
          <w:szCs w:val="32"/>
        </w:rPr>
        <w:t>支出决算为0.63万元，完成预算52.5</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。决算数小于预算数的主要原因是：因疫情原因减少外出培训。</w:t>
      </w:r>
    </w:p>
    <w:p>
      <w:pPr>
        <w:spacing w:line="600" w:lineRule="exact"/>
        <w:ind w:firstLine="643" w:firstLineChars="200"/>
        <w:rPr>
          <w:rFonts w:ascii="仿宋" w:hAnsi="仿宋" w:eastAsia="仿宋"/>
          <w:b/>
          <w:sz w:val="32"/>
          <w:szCs w:val="32"/>
        </w:rPr>
      </w:pPr>
      <w:r>
        <w:rPr>
          <w:rStyle w:val="15"/>
          <w:rFonts w:hint="eastAsia" w:ascii="仿宋" w:hAnsi="仿宋" w:eastAsia="仿宋" w:cstheme="minorBidi"/>
          <w:bCs/>
          <w:sz w:val="32"/>
          <w:szCs w:val="32"/>
        </w:rPr>
        <w:t>4.</w:t>
      </w:r>
      <w:r>
        <w:rPr>
          <w:rStyle w:val="15"/>
          <w:rFonts w:hint="eastAsia" w:ascii="仿宋" w:hAnsi="仿宋" w:eastAsia="仿宋" w:cs="仿宋"/>
          <w:color w:val="000000"/>
          <w:sz w:val="32"/>
          <w:szCs w:val="32"/>
        </w:rPr>
        <w:t>社会保障和就业支出（类）行政事业单位养老支出（款）行政单位离退休（项）：</w:t>
      </w:r>
      <w:r>
        <w:rPr>
          <w:rStyle w:val="15"/>
          <w:rFonts w:hint="eastAsia" w:ascii="仿宋" w:hAnsi="仿宋" w:eastAsia="仿宋"/>
          <w:b w:val="0"/>
          <w:bCs/>
          <w:sz w:val="32"/>
          <w:szCs w:val="32"/>
        </w:rPr>
        <w:t>支出决算为34.75万元，完成预算100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shd w:val="clear" w:color="FFFFFF" w:fill="D9D9D9"/>
        </w:rPr>
      </w:pPr>
      <w:r>
        <w:rPr>
          <w:rFonts w:hint="eastAsia" w:eastAsia="仿宋"/>
          <w:b/>
          <w:bCs/>
          <w:sz w:val="32"/>
          <w:szCs w:val="32"/>
        </w:rPr>
        <w:t>5</w:t>
      </w:r>
      <w:r>
        <w:rPr>
          <w:rStyle w:val="15"/>
          <w:rFonts w:hint="eastAsia" w:ascii="仿宋" w:hAnsi="仿宋" w:eastAsia="仿宋" w:cs="仿宋"/>
          <w:bCs/>
          <w:color w:val="000000"/>
          <w:sz w:val="32"/>
          <w:szCs w:val="32"/>
        </w:rPr>
        <w:t>.</w:t>
      </w:r>
      <w:r>
        <w:rPr>
          <w:rStyle w:val="15"/>
          <w:rFonts w:hint="eastAsia" w:ascii="仿宋" w:hAnsi="仿宋" w:eastAsia="仿宋" w:cs="仿宋"/>
          <w:color w:val="000000"/>
          <w:sz w:val="32"/>
          <w:szCs w:val="32"/>
        </w:rPr>
        <w:t>社会保障和就业支出（类）行政事业单位养老支出（款）机关事业单位基本养老保险缴费支出（项）：</w:t>
      </w:r>
      <w:r>
        <w:rPr>
          <w:rStyle w:val="15"/>
          <w:rFonts w:hint="eastAsia" w:ascii="仿宋" w:hAnsi="仿宋" w:eastAsia="仿宋"/>
          <w:b w:val="0"/>
          <w:bCs/>
          <w:sz w:val="32"/>
          <w:szCs w:val="32"/>
        </w:rPr>
        <w:t>支出决算为6.82万元，完成预算99.92</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，决算数小于预算数的主要原因是基本养老保险缴费计费标准误差。</w:t>
      </w:r>
    </w:p>
    <w:p>
      <w:pPr>
        <w:spacing w:line="600" w:lineRule="exact"/>
        <w:ind w:firstLine="643" w:firstLineChars="200"/>
        <w:rPr>
          <w:rStyle w:val="15"/>
          <w:rFonts w:ascii="仿宋" w:hAnsi="仿宋" w:eastAsia="仿宋"/>
          <w:b w:val="0"/>
          <w:bCs/>
          <w:sz w:val="32"/>
          <w:szCs w:val="32"/>
          <w:shd w:val="clear" w:color="FFFFFF" w:fill="D9D9D9"/>
        </w:rPr>
      </w:pPr>
      <w:r>
        <w:rPr>
          <w:rStyle w:val="15"/>
          <w:rFonts w:hint="eastAsia" w:ascii="仿宋" w:hAnsi="仿宋" w:eastAsia="仿宋" w:cs="仿宋"/>
          <w:color w:val="000000"/>
          <w:sz w:val="32"/>
          <w:szCs w:val="32"/>
        </w:rPr>
        <w:t>6.卫生健康支出（类）行政事业单位医疗（款）行政单位医疗（项）：</w:t>
      </w:r>
      <w:r>
        <w:rPr>
          <w:rStyle w:val="15"/>
          <w:rFonts w:hint="eastAsia" w:ascii="仿宋" w:hAnsi="仿宋" w:eastAsia="仿宋"/>
          <w:b w:val="0"/>
          <w:bCs/>
          <w:sz w:val="32"/>
          <w:szCs w:val="32"/>
        </w:rPr>
        <w:t>支出决算为4.15万元，完成预算85.5</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，决算数小于预算数的主要原因是人员变动因素。</w:t>
      </w:r>
    </w:p>
    <w:p>
      <w:pPr>
        <w:spacing w:line="600" w:lineRule="exact"/>
        <w:ind w:firstLine="643" w:firstLineChars="200"/>
        <w:rPr>
          <w:rStyle w:val="15"/>
          <w:rFonts w:ascii="仿宋" w:hAnsi="仿宋" w:eastAsia="仿宋"/>
          <w:b w:val="0"/>
          <w:bCs/>
          <w:sz w:val="32"/>
          <w:szCs w:val="32"/>
          <w:shd w:val="clear" w:color="FFFFFF" w:fill="D9D9D9"/>
        </w:rPr>
      </w:pPr>
      <w:r>
        <w:rPr>
          <w:rStyle w:val="15"/>
          <w:rFonts w:hint="eastAsia" w:ascii="仿宋" w:hAnsi="仿宋" w:eastAsia="仿宋" w:cs="仿宋"/>
          <w:color w:val="000000"/>
          <w:sz w:val="32"/>
          <w:szCs w:val="32"/>
        </w:rPr>
        <w:t>7.卫生健康支出（类）行政事业单位医疗（款）公务员医疗补助（项）：</w:t>
      </w:r>
      <w:r>
        <w:rPr>
          <w:rStyle w:val="15"/>
          <w:rFonts w:hint="eastAsia" w:ascii="仿宋" w:hAnsi="仿宋" w:eastAsia="仿宋"/>
          <w:b w:val="0"/>
          <w:bCs/>
          <w:sz w:val="32"/>
          <w:szCs w:val="32"/>
        </w:rPr>
        <w:t>支出决算为1.63万元，完成预算70</w:t>
      </w:r>
      <w:r>
        <w:rPr>
          <w:rStyle w:val="15"/>
          <w:rFonts w:ascii="仿宋" w:hAnsi="仿宋" w:eastAsia="仿宋"/>
          <w:b w:val="0"/>
          <w:bCs/>
          <w:sz w:val="32"/>
          <w:szCs w:val="32"/>
        </w:rPr>
        <w:t>%</w:t>
      </w:r>
      <w:r>
        <w:rPr>
          <w:rStyle w:val="15"/>
          <w:rFonts w:hint="eastAsia" w:ascii="仿宋" w:hAnsi="仿宋" w:eastAsia="仿宋"/>
          <w:b w:val="0"/>
          <w:bCs/>
          <w:sz w:val="32"/>
          <w:szCs w:val="32"/>
        </w:rPr>
        <w:t>，决算数小于预算数的主要原因是人员变动因素。</w:t>
      </w:r>
    </w:p>
    <w:p>
      <w:pPr>
        <w:spacing w:line="600" w:lineRule="exact"/>
        <w:ind w:firstLine="643" w:firstLineChars="200"/>
        <w:rPr>
          <w:rStyle w:val="15"/>
          <w:rFonts w:ascii="仿宋" w:hAnsi="仿宋" w:eastAsia="仿宋"/>
          <w:bCs/>
          <w:sz w:val="32"/>
          <w:szCs w:val="32"/>
        </w:rPr>
      </w:pPr>
      <w:r>
        <w:rPr>
          <w:rStyle w:val="15"/>
          <w:rFonts w:hint="eastAsia" w:ascii="仿宋" w:hAnsi="仿宋" w:eastAsia="仿宋" w:cs="仿宋"/>
          <w:color w:val="000000"/>
          <w:sz w:val="32"/>
          <w:szCs w:val="32"/>
        </w:rPr>
        <w:t>8.住房保障支出（类）住房改革支出（款）住房公积金（项）：</w:t>
      </w:r>
      <w:r>
        <w:rPr>
          <w:rStyle w:val="15"/>
          <w:rFonts w:hint="eastAsia" w:ascii="仿宋" w:hAnsi="仿宋" w:eastAsia="仿宋"/>
          <w:b w:val="0"/>
          <w:bCs/>
          <w:sz w:val="32"/>
          <w:szCs w:val="32"/>
        </w:rPr>
        <w:t>支出决算为6.9万元，完成预算100</w:t>
      </w:r>
      <w:r>
        <w:rPr>
          <w:rStyle w:val="15"/>
          <w:rFonts w:ascii="仿宋" w:hAnsi="仿宋" w:eastAsia="仿宋"/>
          <w:b w:val="0"/>
          <w:bCs/>
          <w:sz w:val="32"/>
          <w:szCs w:val="32"/>
        </w:rPr>
        <w:t>%</w:t>
      </w:r>
      <w:bookmarkStart w:id="34" w:name="_Toc15377214"/>
      <w:bookmarkStart w:id="35" w:name="_Toc15396608"/>
      <w:r>
        <w:rPr>
          <w:rStyle w:val="15"/>
          <w:rFonts w:hint="eastAsia" w:ascii="仿宋" w:hAnsi="仿宋" w:eastAsia="仿宋"/>
          <w:b w:val="0"/>
          <w:bCs/>
          <w:sz w:val="32"/>
          <w:szCs w:val="32"/>
        </w:rPr>
        <w:t>，决算数等于预算数。</w:t>
      </w:r>
    </w:p>
    <w:p>
      <w:pPr>
        <w:spacing w:line="600" w:lineRule="exact"/>
        <w:ind w:firstLine="640" w:firstLineChars="200"/>
        <w:rPr>
          <w:rStyle w:val="26"/>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hint="eastAsia" w:ascii="仿宋" w:hAnsi="仿宋" w:eastAsia="仿宋" w:cs="仿宋"/>
          <w:sz w:val="32"/>
          <w:szCs w:val="32"/>
        </w:rPr>
        <w:t>148.89</w:t>
      </w:r>
      <w:r>
        <w:rPr>
          <w:rFonts w:hint="eastAsia" w:ascii="仿宋" w:hAnsi="仿宋" w:eastAsia="仿宋"/>
          <w:sz w:val="32"/>
          <w:szCs w:val="32"/>
        </w:rPr>
        <w:t>万元，其中：</w:t>
      </w:r>
    </w:p>
    <w:p>
      <w:pPr>
        <w:spacing w:line="600" w:lineRule="exact"/>
        <w:ind w:firstLine="645"/>
        <w:rPr>
          <w:rFonts w:ascii="仿宋" w:hAnsi="仿宋" w:eastAsia="仿宋"/>
          <w:b/>
          <w:color w:val="000000"/>
          <w:sz w:val="32"/>
          <w:szCs w:val="32"/>
        </w:rPr>
      </w:pPr>
      <w:r>
        <w:rPr>
          <w:rFonts w:hint="eastAsia" w:ascii="仿宋" w:hAnsi="仿宋" w:eastAsia="仿宋"/>
          <w:sz w:val="32"/>
          <w:szCs w:val="32"/>
        </w:rPr>
        <w:t>人员经费</w:t>
      </w:r>
      <w:r>
        <w:rPr>
          <w:rFonts w:hint="eastAsia" w:ascii="仿宋" w:hAnsi="仿宋" w:eastAsia="仿宋" w:cs="仿宋"/>
          <w:color w:val="000000" w:themeColor="text1"/>
          <w:sz w:val="32"/>
          <w:szCs w:val="32"/>
          <w14:textFill>
            <w14:solidFill>
              <w14:schemeClr w14:val="tx1"/>
            </w14:solidFill>
          </w14:textFill>
        </w:rPr>
        <w:t>133.98</w:t>
      </w:r>
      <w:r>
        <w:rPr>
          <w:rFonts w:hint="eastAsia" w:ascii="仿宋" w:hAnsi="仿宋" w:eastAsia="仿宋" w:cs="仿宋"/>
          <w:sz w:val="32"/>
          <w:szCs w:val="32"/>
        </w:rPr>
        <w:t>万元</w:t>
      </w:r>
      <w:r>
        <w:rPr>
          <w:rFonts w:hint="eastAsia" w:ascii="仿宋" w:hAnsi="仿宋" w:eastAsia="仿宋"/>
          <w:sz w:val="32"/>
          <w:szCs w:val="32"/>
        </w:rPr>
        <w:t>，主要包括：</w:t>
      </w:r>
      <w:r>
        <w:rPr>
          <w:rFonts w:hint="eastAsia" w:ascii="仿宋" w:hAnsi="仿宋" w:eastAsia="仿宋"/>
          <w:color w:val="000000"/>
          <w:sz w:val="32"/>
          <w:szCs w:val="32"/>
        </w:rPr>
        <w:t>基本工资、津贴补贴、奖金、绩效工资、机关事业单位基本养老保险缴费、职业年金缴费、职工基本医疗保险缴费、公务员医疗补助缴费、住房公积金、其他工资福利支出、离休费、抚恤金、生活补助、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sz w:val="32"/>
          <w:szCs w:val="32"/>
        </w:rPr>
        <w:t>公用经费</w:t>
      </w:r>
      <w:r>
        <w:rPr>
          <w:rFonts w:hint="eastAsia" w:ascii="仿宋" w:hAnsi="仿宋" w:eastAsia="仿宋" w:cs="仿宋"/>
          <w:sz w:val="32"/>
          <w:szCs w:val="32"/>
        </w:rPr>
        <w:t>14.91万元</w:t>
      </w:r>
      <w:r>
        <w:rPr>
          <w:rFonts w:hint="eastAsia" w:ascii="仿宋" w:hAnsi="仿宋" w:eastAsia="仿宋"/>
          <w:sz w:val="32"/>
          <w:szCs w:val="32"/>
        </w:rPr>
        <w:t>，主要包括：</w:t>
      </w:r>
      <w:r>
        <w:rPr>
          <w:rFonts w:hint="eastAsia" w:ascii="仿宋" w:hAnsi="仿宋" w:eastAsia="仿宋"/>
          <w:color w:val="000000"/>
          <w:sz w:val="32"/>
          <w:szCs w:val="32"/>
        </w:rPr>
        <w:t>办公费、印刷费、咨询费、手续费、水费、电费、邮电费、取暖费、差旅费、维修（护）费、租赁费、会议费、培训费、劳务费、委托业务费、工会经费、福利费、其他交通费用、其他商品和服务支出等。</w:t>
      </w:r>
    </w:p>
    <w:p>
      <w:pPr>
        <w:spacing w:line="600" w:lineRule="exact"/>
        <w:ind w:firstLine="640"/>
        <w:outlineLvl w:val="1"/>
        <w:rPr>
          <w:rFonts w:ascii="仿宋_GB2312" w:hAnsi="仿宋_GB2312" w:eastAsia="仿宋_GB2312" w:cs="仿宋_GB2312"/>
          <w:b/>
          <w:bCs/>
          <w:color w:val="0000FF"/>
          <w:sz w:val="32"/>
          <w:szCs w:val="32"/>
          <w:highlight w:val="yellow"/>
        </w:rPr>
      </w:pPr>
      <w:bookmarkStart w:id="36" w:name="_Toc15396609"/>
      <w:bookmarkStart w:id="37"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firstLineChars="200"/>
        <w:rPr>
          <w:rFonts w:ascii="仿宋" w:hAnsi="仿宋" w:eastAsia="仿宋"/>
          <w:sz w:val="32"/>
          <w:szCs w:val="32"/>
          <w:shd w:val="clear" w:color="FFFFFF" w:fill="D9D9D9"/>
        </w:rPr>
      </w:pPr>
      <w:r>
        <w:rPr>
          <w:rFonts w:ascii="仿宋" w:hAnsi="仿宋" w:eastAsia="仿宋"/>
          <w:sz w:val="32"/>
          <w:szCs w:val="32"/>
        </w:rPr>
        <w:t>20</w:t>
      </w:r>
      <w:r>
        <w:rPr>
          <w:rFonts w:hint="eastAsia" w:ascii="仿宋" w:hAnsi="仿宋" w:eastAsia="仿宋"/>
          <w:sz w:val="32"/>
          <w:szCs w:val="32"/>
        </w:rPr>
        <w:t>21年“三公”经费财政拨款支出决算为2.19万元，完成预算73</w:t>
      </w:r>
      <w:r>
        <w:rPr>
          <w:rFonts w:ascii="仿宋" w:hAnsi="仿宋" w:eastAsia="仿宋"/>
          <w:sz w:val="32"/>
          <w:szCs w:val="32"/>
        </w:rPr>
        <w:t>%</w:t>
      </w:r>
      <w:r>
        <w:rPr>
          <w:rFonts w:hint="eastAsia" w:ascii="仿宋" w:hAnsi="仿宋" w:eastAsia="仿宋"/>
          <w:sz w:val="32"/>
          <w:szCs w:val="32"/>
        </w:rPr>
        <w:t>，决算数小于预算数的主要原因是</w:t>
      </w:r>
      <w:r>
        <w:rPr>
          <w:rStyle w:val="15"/>
          <w:rFonts w:hint="eastAsia" w:ascii="仿宋" w:hAnsi="仿宋" w:eastAsia="仿宋"/>
          <w:b w:val="0"/>
          <w:bCs/>
          <w:sz w:val="32"/>
          <w:szCs w:val="32"/>
        </w:rPr>
        <w:t>受疫情影响，公务接待支出减少。</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pPr>
      <w:r>
        <w:rPr>
          <w:rFonts w:ascii="仿宋" w:hAnsi="仿宋" w:eastAsia="仿宋"/>
          <w:sz w:val="32"/>
          <w:szCs w:val="32"/>
        </w:rPr>
        <w:t>20</w:t>
      </w:r>
      <w:r>
        <w:rPr>
          <w:rFonts w:hint="eastAsia" w:ascii="仿宋" w:hAnsi="仿宋" w:eastAsia="仿宋"/>
          <w:sz w:val="32"/>
          <w:szCs w:val="32"/>
        </w:rPr>
        <w:t>21年“三公”经费财政拨款支出决算中，因公出国（境）费支出0万元，占0</w:t>
      </w:r>
      <w:r>
        <w:rPr>
          <w:rFonts w:ascii="仿宋" w:hAnsi="仿宋" w:eastAsia="仿宋"/>
          <w:sz w:val="32"/>
          <w:szCs w:val="32"/>
        </w:rPr>
        <w:t>.00%</w:t>
      </w:r>
      <w:r>
        <w:rPr>
          <w:rFonts w:hint="eastAsia" w:ascii="仿宋" w:hAnsi="仿宋" w:eastAsia="仿宋"/>
          <w:sz w:val="32"/>
          <w:szCs w:val="32"/>
        </w:rPr>
        <w:t>；公务用车购置及运行维护费支出决算1.99万元，占90.8</w:t>
      </w:r>
      <w:r>
        <w:rPr>
          <w:rFonts w:ascii="仿宋" w:hAnsi="仿宋" w:eastAsia="仿宋"/>
          <w:sz w:val="32"/>
          <w:szCs w:val="32"/>
        </w:rPr>
        <w:t>%</w:t>
      </w:r>
      <w:r>
        <w:rPr>
          <w:rFonts w:hint="eastAsia" w:ascii="仿宋" w:hAnsi="仿宋" w:eastAsia="仿宋"/>
          <w:sz w:val="32"/>
          <w:szCs w:val="32"/>
        </w:rPr>
        <w:t>；公务接待费支出决算0.2万元，占9.2%。具体情况如下：</w:t>
      </w:r>
    </w:p>
    <w:p>
      <w:pPr>
        <w:pStyle w:val="2"/>
        <w:spacing w:before="93"/>
      </w:pPr>
      <w:r>
        <w:drawing>
          <wp:inline distT="0" distB="0" distL="0" distR="0">
            <wp:extent cx="5274310" cy="2740660"/>
            <wp:effectExtent l="0" t="0" r="2540" b="25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因公出国（境）经费支出0万元，</w:t>
      </w:r>
      <w:r>
        <w:rPr>
          <w:rFonts w:hint="eastAsia" w:ascii="仿宋_GB2312" w:eastAsia="仿宋_GB2312"/>
          <w:sz w:val="32"/>
          <w:szCs w:val="32"/>
        </w:rPr>
        <w:t>全年安排因公出国（境）团组</w:t>
      </w:r>
      <w:r>
        <w:rPr>
          <w:rFonts w:ascii="仿宋_GB2312" w:eastAsia="仿宋_GB2312"/>
          <w:sz w:val="32"/>
          <w:szCs w:val="32"/>
        </w:rPr>
        <w:t>0</w:t>
      </w:r>
      <w:r>
        <w:rPr>
          <w:rFonts w:hint="eastAsia" w:ascii="仿宋_GB2312" w:eastAsia="仿宋_GB2312"/>
          <w:sz w:val="32"/>
          <w:szCs w:val="32"/>
        </w:rPr>
        <w:t>次，出国（境）</w:t>
      </w:r>
      <w:r>
        <w:rPr>
          <w:rFonts w:ascii="仿宋_GB2312" w:eastAsia="仿宋_GB2312"/>
          <w:sz w:val="32"/>
          <w:szCs w:val="32"/>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20年持平。主要原因是厉行节约。</w:t>
      </w:r>
    </w:p>
    <w:p>
      <w:pPr>
        <w:spacing w:line="600" w:lineRule="exact"/>
        <w:ind w:firstLine="640"/>
        <w:rPr>
          <w:rFonts w:ascii="仿宋_GB2312" w:eastAsia="仿宋_GB2312"/>
          <w:sz w:val="32"/>
          <w:szCs w:val="32"/>
        </w:rPr>
      </w:pPr>
      <w:r>
        <w:rPr>
          <w:rFonts w:hint="eastAsia" w:ascii="仿宋_GB2312" w:eastAsia="仿宋_GB2312"/>
          <w:sz w:val="32"/>
          <w:szCs w:val="32"/>
        </w:rPr>
        <w:t>开支内容无。</w:t>
      </w:r>
    </w:p>
    <w:p>
      <w:pPr>
        <w:tabs>
          <w:tab w:val="left" w:pos="6930"/>
        </w:tabs>
        <w:spacing w:line="600" w:lineRule="exact"/>
        <w:ind w:firstLine="640"/>
        <w:rPr>
          <w:rFonts w:hint="eastAsia" w:ascii="仿宋_GB2312" w:eastAsia="仿宋_GB2312"/>
          <w:b/>
          <w:sz w:val="32"/>
          <w:szCs w:val="32"/>
          <w:shd w:val="clear" w:color="FFFFFF" w:fill="D9D9D9"/>
          <w:lang w:eastAsia="zh-CN"/>
        </w:rPr>
      </w:pPr>
      <w:r>
        <w:rPr>
          <w:rFonts w:hint="eastAsia" w:ascii="仿宋_GB2312" w:eastAsia="仿宋_GB2312"/>
          <w:b/>
          <w:sz w:val="32"/>
          <w:szCs w:val="32"/>
        </w:rPr>
        <w:t>2</w:t>
      </w:r>
      <w:r>
        <w:rPr>
          <w:rFonts w:ascii="仿宋_GB2312" w:eastAsia="仿宋_GB2312"/>
          <w:b/>
          <w:sz w:val="32"/>
          <w:szCs w:val="32"/>
        </w:rPr>
        <w:t>.</w:t>
      </w:r>
      <w:r>
        <w:rPr>
          <w:rFonts w:hint="eastAsia" w:ascii="仿宋_GB2312" w:eastAsia="仿宋_GB2312"/>
          <w:b/>
          <w:sz w:val="32"/>
          <w:szCs w:val="32"/>
        </w:rPr>
        <w:t>公务用车购置及运行维护费支出</w:t>
      </w:r>
      <w:r>
        <w:rPr>
          <w:rFonts w:hint="eastAsia" w:ascii="仿宋_GB2312" w:eastAsia="仿宋_GB2312"/>
          <w:sz w:val="32"/>
          <w:szCs w:val="32"/>
        </w:rPr>
        <w:t>1.99万元,</w:t>
      </w:r>
      <w:r>
        <w:rPr>
          <w:rStyle w:val="15"/>
          <w:rFonts w:hint="eastAsia" w:ascii="仿宋" w:hAnsi="仿宋" w:eastAsia="仿宋"/>
          <w:b w:val="0"/>
          <w:bCs/>
          <w:sz w:val="32"/>
          <w:szCs w:val="32"/>
        </w:rPr>
        <w:t>完成预算99.</w:t>
      </w:r>
      <w:r>
        <w:rPr>
          <w:rStyle w:val="15"/>
          <w:rFonts w:hint="eastAsia" w:ascii="仿宋" w:hAnsi="仿宋" w:eastAsia="仿宋"/>
          <w:b w:val="0"/>
          <w:bCs/>
          <w:sz w:val="32"/>
          <w:szCs w:val="32"/>
          <w:lang w:val="en-US" w:eastAsia="zh-CN"/>
        </w:rPr>
        <w:t>5</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公务用车购置及运行维护费支出决算与2020年相比减少0.01万元，降低0.5%</w:t>
      </w:r>
      <w:r>
        <w:rPr>
          <w:rFonts w:hint="eastAsia" w:ascii="仿宋_GB2312" w:eastAsia="仿宋_GB2312"/>
          <w:sz w:val="32"/>
          <w:szCs w:val="32"/>
          <w:lang w:eastAsia="zh-CN"/>
        </w:rPr>
        <w:t>。</w:t>
      </w:r>
    </w:p>
    <w:p>
      <w:pPr>
        <w:tabs>
          <w:tab w:val="left" w:pos="6930"/>
        </w:tabs>
        <w:spacing w:line="600" w:lineRule="exact"/>
        <w:ind w:firstLine="640" w:firstLineChars="200"/>
        <w:rPr>
          <w:rFonts w:ascii="仿宋_GB2312" w:eastAsia="仿宋_GB2312"/>
          <w:b/>
          <w:bCs/>
          <w:color w:val="0070C0"/>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公务用车运行维护费支出</w:t>
      </w:r>
      <w:r>
        <w:rPr>
          <w:rFonts w:hint="eastAsia" w:ascii="仿宋_GB2312" w:eastAsia="仿宋_GB2312"/>
          <w:color w:val="000000" w:themeColor="text1"/>
          <w:sz w:val="32"/>
          <w:szCs w:val="32"/>
          <w14:textFill>
            <w14:solidFill>
              <w14:schemeClr w14:val="tx1"/>
            </w14:solidFill>
          </w14:textFill>
        </w:rPr>
        <w:t>1.99万元。主要用于执行公务所需的公务用车燃料费、维修费、过路过桥费、保险费等支出。</w:t>
      </w:r>
    </w:p>
    <w:p>
      <w:pPr>
        <w:numPr>
          <w:ilvl w:val="0"/>
          <w:numId w:val="3"/>
        </w:numPr>
        <w:spacing w:line="600" w:lineRule="exact"/>
        <w:ind w:firstLine="640"/>
        <w:rPr>
          <w:rFonts w:hint="eastAsia"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0.2万元，</w:t>
      </w:r>
      <w:r>
        <w:rPr>
          <w:rStyle w:val="15"/>
          <w:rFonts w:hint="eastAsia" w:ascii="仿宋" w:hAnsi="仿宋" w:eastAsia="仿宋"/>
          <w:b w:val="0"/>
          <w:bCs/>
          <w:sz w:val="32"/>
          <w:szCs w:val="32"/>
        </w:rPr>
        <w:t>完成预算20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20年增加0.03万元，增长17.6</w:t>
      </w:r>
      <w:r>
        <w:rPr>
          <w:rFonts w:ascii="仿宋_GB2312" w:eastAsia="仿宋_GB2312"/>
          <w:sz w:val="32"/>
          <w:szCs w:val="32"/>
        </w:rPr>
        <w:t>%</w:t>
      </w:r>
      <w:r>
        <w:rPr>
          <w:rFonts w:hint="eastAsia" w:ascii="仿宋_GB2312" w:eastAsia="仿宋_GB2312"/>
          <w:sz w:val="32"/>
          <w:szCs w:val="32"/>
        </w:rPr>
        <w:t>。主要原因是</w:t>
      </w:r>
      <w:r>
        <w:rPr>
          <w:rFonts w:hint="eastAsia" w:ascii="宋体" w:hAnsi="宋体" w:eastAsia="仿宋"/>
          <w:color w:val="000000"/>
          <w:sz w:val="32"/>
          <w:szCs w:val="32"/>
        </w:rPr>
        <w:t>与地方政法部门办理业务协作等</w:t>
      </w:r>
      <w:r>
        <w:rPr>
          <w:rFonts w:hint="eastAsia" w:ascii="仿宋_GB2312" w:eastAsia="仿宋_GB2312"/>
          <w:sz w:val="32"/>
          <w:szCs w:val="32"/>
        </w:rPr>
        <w:t>。</w:t>
      </w:r>
    </w:p>
    <w:p>
      <w:pPr>
        <w:numPr>
          <w:ilvl w:val="0"/>
          <w:numId w:val="3"/>
        </w:num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0.2</w:t>
      </w:r>
      <w:r>
        <w:rPr>
          <w:rFonts w:hint="eastAsia" w:ascii="仿宋_GB2312" w:eastAsia="仿宋_GB2312"/>
          <w:sz w:val="32"/>
          <w:szCs w:val="32"/>
        </w:rPr>
        <w:t>万元，</w:t>
      </w:r>
      <w:r>
        <w:rPr>
          <w:rFonts w:hint="eastAsia" w:ascii="宋体" w:hAnsi="宋体" w:eastAsia="仿宋"/>
          <w:color w:val="000000"/>
          <w:sz w:val="32"/>
          <w:szCs w:val="32"/>
        </w:rPr>
        <w:t>主要用于执行公务、开展业务活动开支的交通费、住宿费、用餐费等。</w:t>
      </w:r>
      <w:r>
        <w:rPr>
          <w:rFonts w:hint="eastAsia" w:ascii="仿宋_GB2312" w:eastAsia="仿宋_GB2312"/>
          <w:sz w:val="32"/>
          <w:szCs w:val="32"/>
        </w:rPr>
        <w:t>国内公务接待3批次，23人次（不包括陪同人员），共计支出0.2万元，</w:t>
      </w:r>
      <w:r>
        <w:rPr>
          <w:rFonts w:hint="eastAsia" w:ascii="宋体" w:hAnsi="宋体" w:eastAsia="仿宋"/>
          <w:color w:val="000000"/>
          <w:sz w:val="32"/>
          <w:szCs w:val="32"/>
        </w:rPr>
        <w:t>具体内容包括：与地方政法部门办理业务协作等。</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_GB2312" w:eastAsia="仿宋_GB2312"/>
          <w:b/>
          <w:bCs/>
          <w:sz w:val="32"/>
          <w:szCs w:val="32"/>
        </w:rPr>
        <w:t>0万元</w:t>
      </w:r>
      <w:r>
        <w:rPr>
          <w:rFonts w:hint="eastAsia" w:ascii="仿宋_GB2312" w:eastAsia="仿宋_GB2312"/>
          <w:sz w:val="32"/>
          <w:szCs w:val="32"/>
        </w:rPr>
        <w:t>。</w:t>
      </w:r>
      <w:bookmarkStart w:id="40" w:name="_Toc15377218"/>
      <w:bookmarkStart w:id="41"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21年无政府性基金预算财政拨款支出。</w:t>
      </w:r>
    </w:p>
    <w:p>
      <w:pPr>
        <w:numPr>
          <w:ilvl w:val="0"/>
          <w:numId w:val="4"/>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highlight w:val="yellow"/>
        </w:rPr>
      </w:pPr>
      <w:r>
        <w:rPr>
          <w:rFonts w:ascii="仿宋_GB2312" w:eastAsia="仿宋_GB2312"/>
          <w:sz w:val="32"/>
          <w:szCs w:val="32"/>
        </w:rPr>
        <w:t>20</w:t>
      </w:r>
      <w:r>
        <w:rPr>
          <w:rFonts w:hint="eastAsia" w:ascii="仿宋_GB2312" w:eastAsia="仿宋_GB2312"/>
          <w:sz w:val="32"/>
          <w:szCs w:val="32"/>
        </w:rPr>
        <w:t>21年无国有资本经营预算财政拨款支出。</w:t>
      </w:r>
    </w:p>
    <w:p>
      <w:pPr>
        <w:numPr>
          <w:ilvl w:val="0"/>
          <w:numId w:val="4"/>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tabs>
          <w:tab w:val="left" w:pos="6930"/>
        </w:tabs>
        <w:spacing w:line="58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21年，宜宾监狱管理科机关运行经费支出14.91万元，比</w:t>
      </w:r>
      <w:r>
        <w:rPr>
          <w:rFonts w:ascii="仿宋_GB2312" w:eastAsia="仿宋_GB2312"/>
          <w:sz w:val="32"/>
          <w:szCs w:val="32"/>
        </w:rPr>
        <w:t>20</w:t>
      </w:r>
      <w:r>
        <w:rPr>
          <w:rFonts w:hint="eastAsia" w:ascii="仿宋_GB2312" w:eastAsia="仿宋_GB2312"/>
          <w:sz w:val="32"/>
          <w:szCs w:val="32"/>
        </w:rPr>
        <w:t>20年减少1.78万元，下降10.7</w:t>
      </w:r>
      <w:r>
        <w:rPr>
          <w:rFonts w:ascii="仿宋_GB2312" w:eastAsia="仿宋_GB2312"/>
          <w:sz w:val="32"/>
          <w:szCs w:val="32"/>
        </w:rPr>
        <w:t>%</w:t>
      </w:r>
      <w:r>
        <w:rPr>
          <w:rFonts w:hint="eastAsia" w:ascii="仿宋_GB2312" w:eastAsia="仿宋_GB2312"/>
          <w:sz w:val="32"/>
          <w:szCs w:val="32"/>
        </w:rPr>
        <w:t>。主要原因是疫情原因减少培训费及差旅费用。</w:t>
      </w:r>
    </w:p>
    <w:p>
      <w:pPr>
        <w:autoSpaceDE w:val="0"/>
        <w:autoSpaceDN w:val="0"/>
        <w:adjustRightInd w:val="0"/>
        <w:spacing w:line="58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58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21年，宜宾监狱管理科政府采购支出总额2.87万元，其中：政府采购货物支出2.07万元、政府采购工程支出0万元、政府采购服务支出0.8万元。</w:t>
      </w:r>
      <w:r>
        <w:rPr>
          <w:rFonts w:hint="eastAsia" w:ascii="宋体" w:hAnsi="宋体" w:eastAsia="仿宋"/>
          <w:color w:val="000000"/>
          <w:sz w:val="32"/>
          <w:szCs w:val="32"/>
        </w:rPr>
        <w:t>主要用于公务车油料和维保服务等。</w:t>
      </w:r>
      <w:r>
        <w:rPr>
          <w:rFonts w:hint="eastAsia" w:ascii="仿宋_GB2312" w:eastAsia="仿宋_GB2312"/>
          <w:sz w:val="32"/>
          <w:szCs w:val="32"/>
        </w:rPr>
        <w:t>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spacing w:line="580" w:lineRule="exact"/>
        <w:ind w:firstLine="643" w:firstLineChars="200"/>
        <w:rPr>
          <w:rFonts w:ascii="仿宋" w:hAnsi="仿宋" w:eastAsia="仿宋"/>
          <w:b/>
          <w:color w:val="FF0000"/>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58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日，宜宾监狱管理科共有车辆1辆，其中：</w:t>
      </w:r>
      <w:r>
        <w:rPr>
          <w:rFonts w:hint="eastAsia" w:ascii="宋体" w:hAnsi="宋体" w:eastAsia="仿宋"/>
          <w:color w:val="000000"/>
          <w:sz w:val="32"/>
          <w:szCs w:val="32"/>
        </w:rPr>
        <w:t>执法执勤用车1辆</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58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根据预算绩效管理要求，本单位在2021年度预算编制阶段无100万元以上（含）特定目标类部门预算项目;2021年特定目标类预算项目自评表见附件（第四部分）。</w:t>
      </w:r>
    </w:p>
    <w:p>
      <w:pPr>
        <w:pStyle w:val="2"/>
        <w:spacing w:before="93"/>
      </w:pPr>
    </w:p>
    <w:p>
      <w:pPr>
        <w:pStyle w:val="2"/>
        <w:spacing w:before="93"/>
      </w:pPr>
    </w:p>
    <w:p>
      <w:pPr>
        <w:numPr>
          <w:ilvl w:val="0"/>
          <w:numId w:val="5"/>
        </w:numPr>
        <w:spacing w:line="600" w:lineRule="exact"/>
        <w:ind w:firstLine="660" w:firstLineChars="150"/>
        <w:jc w:val="center"/>
        <w:outlineLvl w:val="0"/>
        <w:rPr>
          <w:rFonts w:ascii="宋体"/>
          <w:b/>
          <w:color w:val="000000"/>
          <w:sz w:val="44"/>
          <w:szCs w:val="44"/>
        </w:rPr>
      </w:pPr>
      <w:bookmarkStart w:id="49" w:name="_Toc15396613"/>
      <w:bookmarkStart w:id="50"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.财政拨款收入：指单位从同级财政部门取得的财政预算资金。</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公共安全支出（类）监狱（款）行政运行（项）：指行政单位(包括实行公务员管理的事业单位）的基本支出。</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公共安全支出（类）监狱（款）</w:t>
      </w:r>
      <w:r>
        <w:rPr>
          <w:rFonts w:hint="eastAsia" w:ascii="仿宋_GB2312" w:eastAsia="仿宋_GB2312"/>
          <w:color w:val="auto"/>
          <w:sz w:val="32"/>
          <w:szCs w:val="32"/>
          <w:highlight w:val="none"/>
          <w:lang w:eastAsia="zh-CN"/>
        </w:rPr>
        <w:t>一般行政管理事务</w:t>
      </w:r>
      <w:r>
        <w:rPr>
          <w:rFonts w:hint="eastAsia" w:ascii="仿宋_GB2312" w:eastAsia="仿宋_GB2312"/>
          <w:color w:val="auto"/>
          <w:sz w:val="32"/>
          <w:szCs w:val="32"/>
          <w:highlight w:val="none"/>
        </w:rPr>
        <w:t>（项）：指行政单位(包括实行公务员管理的事业单位）</w:t>
      </w:r>
      <w:r>
        <w:rPr>
          <w:rFonts w:hint="eastAsia" w:ascii="仿宋_GB2312" w:eastAsia="仿宋_GB2312"/>
          <w:color w:val="auto"/>
          <w:sz w:val="32"/>
          <w:szCs w:val="32"/>
          <w:highlight w:val="none"/>
          <w:lang w:eastAsia="zh-CN"/>
        </w:rPr>
        <w:t>未单独设置项级科目的其他项目</w:t>
      </w:r>
      <w:r>
        <w:rPr>
          <w:rFonts w:hint="eastAsia" w:ascii="仿宋_GB2312" w:eastAsia="仿宋_GB2312"/>
          <w:color w:val="auto"/>
          <w:sz w:val="32"/>
          <w:szCs w:val="32"/>
          <w:highlight w:val="none"/>
        </w:rPr>
        <w:t>支出。</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教育支出（类）进修及培训（款）培训支出（项）：指各部门安排的用于培训的支出。</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社会保障和就业支出（类）行政事业单位养老支出（款）行政单位离退休（项）：指行政单位(包括实行公务员管理的事业单位）开支的离退休经费。</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社会保障和就业支出（类）行政事业单位养老支出（款）机关事业单位基本养老保险缴费支出（项）：指机关事业单位实施养老保险制度由单位缴纳的基本养老保险费支出。</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卫生健康支出（类）行政事业单位医疗（款）行政单位医疗（项）：指财政部门安排的行政单位(包括实行公务员管理的事业单位）基本医疗保险缴费经费，未参加医疗保险的行政单位的公费医疗经费，按国家规定享受离休人员、红军老战士待遇人员的医疗经费。</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卫生健康支出（类）行政事业单位医疗（款）公务员医疗补助（项）：指财政部门安排的公务员医疗补助经费。</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住房保障支出（类）住房改革支出（款）住房公积金（项）：指行政事业单位按人力资源和社会保障部、财政部规定的基本工资和津</w:t>
      </w:r>
      <w:r>
        <w:rPr>
          <w:rFonts w:hint="eastAsia" w:ascii="仿宋_GB2312" w:eastAsia="仿宋_GB2312"/>
          <w:color w:val="auto"/>
          <w:sz w:val="32"/>
          <w:szCs w:val="32"/>
          <w:highlight w:val="none"/>
          <w:lang w:val="en-US" w:eastAsia="zh-CN"/>
        </w:rPr>
        <w:t>贴</w:t>
      </w:r>
      <w:r>
        <w:rPr>
          <w:rFonts w:hint="eastAsia" w:ascii="仿宋_GB2312" w:eastAsia="仿宋_GB2312"/>
          <w:color w:val="auto"/>
          <w:sz w:val="32"/>
          <w:szCs w:val="32"/>
          <w:highlight w:val="none"/>
        </w:rPr>
        <w:t>补贴以及规定比例为职工缴纳的住房公积金。</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 xml:space="preserve">项目支出：指在基本支出之外为完成特定行政任务和事业发展目标所发生的支出。 </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3"/>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ascii="宋体"/>
          <w:b/>
          <w:color w:val="000000"/>
          <w:sz w:val="44"/>
          <w:szCs w:val="44"/>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1" w:name="_Toc15377226"/>
    </w:p>
    <w:p>
      <w:pPr>
        <w:spacing w:line="600" w:lineRule="exact"/>
        <w:ind w:firstLine="2640" w:firstLineChars="600"/>
        <w:outlineLvl w:val="0"/>
        <w:rPr>
          <w:rFonts w:hint="eastAsia" w:ascii="黑体" w:hAnsi="黑体" w:eastAsia="黑体"/>
          <w:sz w:val="44"/>
          <w:szCs w:val="44"/>
        </w:rPr>
      </w:pPr>
      <w:bookmarkStart w:id="52" w:name="_Toc113360561"/>
    </w:p>
    <w:p>
      <w:pPr>
        <w:spacing w:line="600" w:lineRule="exact"/>
        <w:ind w:firstLine="2640" w:firstLineChars="600"/>
        <w:outlineLvl w:val="0"/>
        <w:rPr>
          <w:rStyle w:val="25"/>
          <w:rFonts w:ascii="黑体" w:hAnsi="黑体" w:eastAsia="黑体"/>
          <w:b w:val="0"/>
        </w:rPr>
      </w:pPr>
      <w:r>
        <w:rPr>
          <w:rFonts w:hint="eastAsia" w:ascii="黑体" w:hAnsi="黑体" w:eastAsia="黑体"/>
          <w:sz w:val="44"/>
          <w:szCs w:val="44"/>
        </w:rPr>
        <w:t>第</w:t>
      </w:r>
      <w:r>
        <w:rPr>
          <w:rStyle w:val="25"/>
          <w:rFonts w:hint="eastAsia" w:ascii="黑体" w:hAnsi="黑体" w:eastAsia="黑体"/>
          <w:b w:val="0"/>
        </w:rPr>
        <w:t>四部分 附件</w:t>
      </w:r>
      <w:bookmarkEnd w:id="52"/>
    </w:p>
    <w:p>
      <w:pPr>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效益</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满意</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both"/>
        <w:outlineLvl w:val="0"/>
        <w:rPr>
          <w:rFonts w:ascii="黑体" w:hAnsi="黑体" w:eastAsia="黑体"/>
          <w:sz w:val="44"/>
          <w:szCs w:val="44"/>
        </w:rPr>
      </w:pPr>
    </w:p>
    <w:p>
      <w:pPr>
        <w:pStyle w:val="23"/>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（注：2021年四川省监狱管理局宜宾监狱管理科无100万元以上（含）特定目标类部门预算项目）</w:t>
      </w:r>
    </w:p>
    <w:p>
      <w:pPr>
        <w:pStyle w:val="2"/>
        <w:spacing w:before="93"/>
        <w:rPr>
          <w:rFonts w:hAnsi="仿宋_GB2312" w:cs="仿宋_GB2312"/>
          <w:sz w:val="32"/>
          <w:szCs w:val="32"/>
          <w:lang w:val="zh-CN"/>
        </w:rPr>
      </w:pPr>
    </w:p>
    <w:p>
      <w:pPr>
        <w:pStyle w:val="2"/>
        <w:spacing w:before="93"/>
        <w:rPr>
          <w:rFonts w:hAnsi="仿宋_GB2312" w:cs="仿宋_GB2312"/>
          <w:sz w:val="32"/>
          <w:szCs w:val="32"/>
          <w:lang w:val="zh-CN"/>
        </w:rPr>
      </w:pPr>
    </w:p>
    <w:p>
      <w:pPr>
        <w:spacing w:line="600" w:lineRule="exact"/>
        <w:jc w:val="center"/>
        <w:outlineLvl w:val="0"/>
        <w:rPr>
          <w:rFonts w:ascii="仿宋" w:hAnsi="仿宋" w:eastAsia="仿宋"/>
          <w:color w:val="000000"/>
        </w:rPr>
      </w:pPr>
      <w:bookmarkStart w:id="53"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color w:val="000000"/>
        </w:rPr>
      </w:pPr>
      <w:r>
        <w:rPr>
          <w:rFonts w:hint="eastAsia" w:ascii="仿宋" w:hAnsi="仿宋" w:eastAsia="仿宋"/>
          <w:b w:val="0"/>
          <w:color w:val="000000"/>
        </w:rPr>
        <w:t>一、收</w:t>
      </w:r>
      <w:r>
        <w:rPr>
          <w:rStyle w:val="26"/>
          <w:rFonts w:hint="eastAsia" w:ascii="仿宋" w:hAnsi="仿宋" w:eastAsia="仿宋"/>
          <w:b w:val="0"/>
          <w:bCs w:val="0"/>
        </w:rPr>
        <w:t>入支出决算总表</w:t>
      </w:r>
      <w:bookmarkEnd w:id="54"/>
    </w:p>
    <w:p>
      <w:pPr>
        <w:pStyle w:val="4"/>
        <w:rPr>
          <w:rFonts w:ascii="仿宋" w:hAnsi="仿宋" w:eastAsia="仿宋"/>
          <w:color w:val="000000"/>
        </w:rPr>
      </w:pPr>
      <w:bookmarkStart w:id="55"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55"/>
    </w:p>
    <w:p>
      <w:pPr>
        <w:pStyle w:val="4"/>
        <w:rPr>
          <w:rFonts w:ascii="仿宋" w:hAnsi="仿宋" w:eastAsia="仿宋"/>
          <w:color w:val="000000"/>
        </w:rPr>
      </w:pPr>
      <w:bookmarkStart w:id="56"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56"/>
    </w:p>
    <w:p>
      <w:pPr>
        <w:pStyle w:val="4"/>
        <w:rPr>
          <w:rFonts w:ascii="仿宋" w:hAnsi="仿宋" w:eastAsia="仿宋"/>
          <w:b w:val="0"/>
          <w:color w:val="000000"/>
        </w:rPr>
      </w:pPr>
      <w:bookmarkStart w:id="57"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bCs/>
          <w:color w:val="FF0000"/>
        </w:rPr>
      </w:pPr>
      <w:bookmarkStart w:id="58" w:name="_Toc15396623"/>
      <w:r>
        <w:rPr>
          <w:rStyle w:val="26"/>
          <w:rFonts w:hint="eastAsia" w:ascii="仿宋" w:hAnsi="仿宋" w:eastAsia="仿宋"/>
          <w:b w:val="0"/>
          <w:bCs w:val="0"/>
        </w:rPr>
        <w:t>五、</w:t>
      </w:r>
      <w:r>
        <w:rPr>
          <w:rFonts w:hint="eastAsia" w:ascii="仿宋" w:hAnsi="仿宋" w:eastAsia="仿宋"/>
          <w:b w:val="0"/>
          <w:bCs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color w:val="000000"/>
        </w:rPr>
      </w:pPr>
      <w:bookmarkStart w:id="60"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color w:val="000000"/>
        </w:rPr>
      </w:pPr>
      <w:bookmarkStart w:id="61"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color w:val="000000"/>
        </w:rPr>
      </w:pPr>
      <w:bookmarkStart w:id="62"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color w:val="000000"/>
        </w:rPr>
      </w:pPr>
      <w:bookmarkStart w:id="63"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color w:val="000000"/>
        </w:rPr>
      </w:pPr>
      <w:bookmarkStart w:id="64"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color w:val="000000"/>
        </w:rPr>
      </w:pPr>
      <w:bookmarkStart w:id="65"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bCs/>
          <w:color w:val="FF0000"/>
        </w:rPr>
      </w:pPr>
      <w:bookmarkStart w:id="66" w:name="_Toc15396631"/>
      <w:r>
        <w:rPr>
          <w:rStyle w:val="26"/>
          <w:rFonts w:hint="eastAsia" w:ascii="仿宋" w:hAnsi="仿宋" w:eastAsia="仿宋"/>
          <w:b w:val="0"/>
          <w:bCs w:val="0"/>
        </w:rPr>
        <w:t>十三、</w:t>
      </w:r>
      <w:r>
        <w:rPr>
          <w:rFonts w:hint="eastAsia" w:ascii="仿宋" w:hAnsi="仿宋" w:eastAsia="仿宋"/>
          <w:b w:val="0"/>
          <w:bCs w:val="0"/>
        </w:rPr>
        <w:t>国</w:t>
      </w:r>
      <w:r>
        <w:rPr>
          <w:rStyle w:val="26"/>
          <w:rFonts w:hint="eastAsia" w:ascii="仿宋" w:hAnsi="仿宋" w:eastAsia="仿宋"/>
          <w:b w:val="0"/>
          <w:bCs w:val="0"/>
        </w:rPr>
        <w:t>有资本经营预算财政拨款收入支出决算表</w:t>
      </w:r>
      <w:bookmarkEnd w:id="66"/>
    </w:p>
    <w:p>
      <w:pPr>
        <w:rPr>
          <w:rFonts w:eastAsia="仿宋"/>
          <w:b/>
          <w:bCs/>
          <w:color w:val="FF0000"/>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DE807D0"/>
    <w:multiLevelType w:val="singleLevel"/>
    <w:tmpl w:val="1DE807D0"/>
    <w:lvl w:ilvl="0" w:tentative="0">
      <w:start w:val="3"/>
      <w:numFmt w:val="decimal"/>
      <w:lvlText w:val="%1."/>
      <w:lvlJc w:val="left"/>
      <w:pPr>
        <w:tabs>
          <w:tab w:val="left" w:pos="312"/>
        </w:tabs>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mMGYzYjEzZTM0ZmJjOWVkMTA2NjQ2NjdmMGY2MTAifQ=="/>
  </w:docVars>
  <w:rsids>
    <w:rsidRoot w:val="00F1361C"/>
    <w:rsid w:val="0001751F"/>
    <w:rsid w:val="000222C6"/>
    <w:rsid w:val="0002549F"/>
    <w:rsid w:val="0003761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1BCC"/>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379DC"/>
    <w:rsid w:val="00255F4C"/>
    <w:rsid w:val="00260C38"/>
    <w:rsid w:val="002616C0"/>
    <w:rsid w:val="00265372"/>
    <w:rsid w:val="002662AA"/>
    <w:rsid w:val="00280496"/>
    <w:rsid w:val="00294DC9"/>
    <w:rsid w:val="00295495"/>
    <w:rsid w:val="002A31DE"/>
    <w:rsid w:val="002B2613"/>
    <w:rsid w:val="002D6D05"/>
    <w:rsid w:val="002F1818"/>
    <w:rsid w:val="002F4B4F"/>
    <w:rsid w:val="002F567B"/>
    <w:rsid w:val="003216A9"/>
    <w:rsid w:val="00335A74"/>
    <w:rsid w:val="0036561B"/>
    <w:rsid w:val="0037013F"/>
    <w:rsid w:val="00380C92"/>
    <w:rsid w:val="003820B0"/>
    <w:rsid w:val="003A484F"/>
    <w:rsid w:val="003A4883"/>
    <w:rsid w:val="003A7D32"/>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5A08"/>
    <w:rsid w:val="00505A47"/>
    <w:rsid w:val="0051130E"/>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6A52"/>
    <w:rsid w:val="006A3141"/>
    <w:rsid w:val="006A5E34"/>
    <w:rsid w:val="006B129B"/>
    <w:rsid w:val="006B2422"/>
    <w:rsid w:val="006B2B9A"/>
    <w:rsid w:val="006C1937"/>
    <w:rsid w:val="006F020C"/>
    <w:rsid w:val="006F3C81"/>
    <w:rsid w:val="007127B7"/>
    <w:rsid w:val="0071798E"/>
    <w:rsid w:val="007416B6"/>
    <w:rsid w:val="00746F48"/>
    <w:rsid w:val="007506F0"/>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13F0"/>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3D83"/>
    <w:rsid w:val="0097099F"/>
    <w:rsid w:val="009711E5"/>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1A45"/>
    <w:rsid w:val="00A04EB0"/>
    <w:rsid w:val="00A13CC1"/>
    <w:rsid w:val="00A1683E"/>
    <w:rsid w:val="00A16847"/>
    <w:rsid w:val="00A237D8"/>
    <w:rsid w:val="00A268C4"/>
    <w:rsid w:val="00A307CD"/>
    <w:rsid w:val="00A331C8"/>
    <w:rsid w:val="00A40A00"/>
    <w:rsid w:val="00A4142F"/>
    <w:rsid w:val="00A422EB"/>
    <w:rsid w:val="00A45BB7"/>
    <w:rsid w:val="00A56DF2"/>
    <w:rsid w:val="00A56E6E"/>
    <w:rsid w:val="00A620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6654"/>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0AC8"/>
    <w:rsid w:val="00C87FD8"/>
    <w:rsid w:val="00C91381"/>
    <w:rsid w:val="00C91CBB"/>
    <w:rsid w:val="00C942BA"/>
    <w:rsid w:val="00CB4E70"/>
    <w:rsid w:val="00CC09B6"/>
    <w:rsid w:val="00CC666F"/>
    <w:rsid w:val="00CD1E3F"/>
    <w:rsid w:val="00CE44F6"/>
    <w:rsid w:val="00CE49DA"/>
    <w:rsid w:val="00CE7B61"/>
    <w:rsid w:val="00CF3689"/>
    <w:rsid w:val="00D00095"/>
    <w:rsid w:val="00D114F0"/>
    <w:rsid w:val="00D20620"/>
    <w:rsid w:val="00D254F7"/>
    <w:rsid w:val="00D26091"/>
    <w:rsid w:val="00D2685C"/>
    <w:rsid w:val="00D34E7C"/>
    <w:rsid w:val="00D35489"/>
    <w:rsid w:val="00D36AFE"/>
    <w:rsid w:val="00D51276"/>
    <w:rsid w:val="00D7035F"/>
    <w:rsid w:val="00D84E4F"/>
    <w:rsid w:val="00DA634F"/>
    <w:rsid w:val="00DA65AC"/>
    <w:rsid w:val="00DA69E0"/>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30D7"/>
    <w:rsid w:val="00EF4C34"/>
    <w:rsid w:val="00EF77C6"/>
    <w:rsid w:val="00F05438"/>
    <w:rsid w:val="00F1361C"/>
    <w:rsid w:val="00F13B4D"/>
    <w:rsid w:val="00F156F0"/>
    <w:rsid w:val="00F160C7"/>
    <w:rsid w:val="00F2408F"/>
    <w:rsid w:val="00F240E9"/>
    <w:rsid w:val="00F35C69"/>
    <w:rsid w:val="00F36D8F"/>
    <w:rsid w:val="00F417B1"/>
    <w:rsid w:val="00F45853"/>
    <w:rsid w:val="00F602DF"/>
    <w:rsid w:val="00F754A1"/>
    <w:rsid w:val="00F81FD9"/>
    <w:rsid w:val="00F841AA"/>
    <w:rsid w:val="00F84A94"/>
    <w:rsid w:val="00F87E96"/>
    <w:rsid w:val="00F908ED"/>
    <w:rsid w:val="00FA23E8"/>
    <w:rsid w:val="00FB7C93"/>
    <w:rsid w:val="00FD3CC1"/>
    <w:rsid w:val="00FF1E02"/>
    <w:rsid w:val="00FF30B4"/>
    <w:rsid w:val="01280E5B"/>
    <w:rsid w:val="014C3A8B"/>
    <w:rsid w:val="014D4561"/>
    <w:rsid w:val="01891BC3"/>
    <w:rsid w:val="01D40338"/>
    <w:rsid w:val="01E430CE"/>
    <w:rsid w:val="023B6E5A"/>
    <w:rsid w:val="02AF34D4"/>
    <w:rsid w:val="02CD0F31"/>
    <w:rsid w:val="02F24E6B"/>
    <w:rsid w:val="03765584"/>
    <w:rsid w:val="0434361A"/>
    <w:rsid w:val="04552944"/>
    <w:rsid w:val="04FB3A45"/>
    <w:rsid w:val="059A3940"/>
    <w:rsid w:val="05D63CB0"/>
    <w:rsid w:val="060C4EA2"/>
    <w:rsid w:val="060D46C8"/>
    <w:rsid w:val="062F43B2"/>
    <w:rsid w:val="064245D0"/>
    <w:rsid w:val="065C26EB"/>
    <w:rsid w:val="06756C09"/>
    <w:rsid w:val="068001DB"/>
    <w:rsid w:val="06B428E2"/>
    <w:rsid w:val="06D40E51"/>
    <w:rsid w:val="070F1893"/>
    <w:rsid w:val="07924D4B"/>
    <w:rsid w:val="08002BCB"/>
    <w:rsid w:val="08063F77"/>
    <w:rsid w:val="08591B53"/>
    <w:rsid w:val="085D7190"/>
    <w:rsid w:val="08830747"/>
    <w:rsid w:val="08BA794E"/>
    <w:rsid w:val="08D569DF"/>
    <w:rsid w:val="096C2F1A"/>
    <w:rsid w:val="0977607E"/>
    <w:rsid w:val="09901286"/>
    <w:rsid w:val="0A2032A3"/>
    <w:rsid w:val="0A233938"/>
    <w:rsid w:val="0BB54972"/>
    <w:rsid w:val="0BE0738C"/>
    <w:rsid w:val="0BEA4940"/>
    <w:rsid w:val="0C407B5E"/>
    <w:rsid w:val="0CD037DA"/>
    <w:rsid w:val="0CE5497D"/>
    <w:rsid w:val="0CF92A3E"/>
    <w:rsid w:val="0D1012A1"/>
    <w:rsid w:val="0D806CE6"/>
    <w:rsid w:val="0E2B6800"/>
    <w:rsid w:val="0E8B4FCD"/>
    <w:rsid w:val="0E8F6107"/>
    <w:rsid w:val="0EC01064"/>
    <w:rsid w:val="0F1E5940"/>
    <w:rsid w:val="0F5D1551"/>
    <w:rsid w:val="0F7871EA"/>
    <w:rsid w:val="100F7103"/>
    <w:rsid w:val="102D734C"/>
    <w:rsid w:val="10C055FF"/>
    <w:rsid w:val="116F5435"/>
    <w:rsid w:val="117341CC"/>
    <w:rsid w:val="118107EC"/>
    <w:rsid w:val="11E543F1"/>
    <w:rsid w:val="13117057"/>
    <w:rsid w:val="13583225"/>
    <w:rsid w:val="135F2210"/>
    <w:rsid w:val="13646D97"/>
    <w:rsid w:val="137C03DD"/>
    <w:rsid w:val="137E14CA"/>
    <w:rsid w:val="141F304C"/>
    <w:rsid w:val="14D61117"/>
    <w:rsid w:val="15092D9C"/>
    <w:rsid w:val="15364FAF"/>
    <w:rsid w:val="1544225F"/>
    <w:rsid w:val="156D79FD"/>
    <w:rsid w:val="15865956"/>
    <w:rsid w:val="162F5C57"/>
    <w:rsid w:val="164D0FCD"/>
    <w:rsid w:val="16530998"/>
    <w:rsid w:val="16A904F9"/>
    <w:rsid w:val="16BB723D"/>
    <w:rsid w:val="17072C33"/>
    <w:rsid w:val="17257D08"/>
    <w:rsid w:val="176D1908"/>
    <w:rsid w:val="17DC673B"/>
    <w:rsid w:val="18015F3F"/>
    <w:rsid w:val="18264101"/>
    <w:rsid w:val="188E0BB3"/>
    <w:rsid w:val="1987121A"/>
    <w:rsid w:val="19C42681"/>
    <w:rsid w:val="19D50BB8"/>
    <w:rsid w:val="19F771D6"/>
    <w:rsid w:val="1B48454A"/>
    <w:rsid w:val="1B602D1E"/>
    <w:rsid w:val="1BB81A25"/>
    <w:rsid w:val="1BE8440E"/>
    <w:rsid w:val="1BF117D7"/>
    <w:rsid w:val="1C184D08"/>
    <w:rsid w:val="1C18542D"/>
    <w:rsid w:val="1D155CEE"/>
    <w:rsid w:val="1D9303A4"/>
    <w:rsid w:val="1DA019F0"/>
    <w:rsid w:val="1E3B4A48"/>
    <w:rsid w:val="1ED048A8"/>
    <w:rsid w:val="1F3D3056"/>
    <w:rsid w:val="1F8D42DB"/>
    <w:rsid w:val="1FC62137"/>
    <w:rsid w:val="1FE5342E"/>
    <w:rsid w:val="1FF03F78"/>
    <w:rsid w:val="204E6240"/>
    <w:rsid w:val="20A664F1"/>
    <w:rsid w:val="20B907E5"/>
    <w:rsid w:val="20F35E8E"/>
    <w:rsid w:val="20F57F95"/>
    <w:rsid w:val="219D2391"/>
    <w:rsid w:val="21AA1C6F"/>
    <w:rsid w:val="21FA2FB9"/>
    <w:rsid w:val="22C83E90"/>
    <w:rsid w:val="22CA5E26"/>
    <w:rsid w:val="233001FE"/>
    <w:rsid w:val="235D2A24"/>
    <w:rsid w:val="23B859AD"/>
    <w:rsid w:val="24020B53"/>
    <w:rsid w:val="240371BF"/>
    <w:rsid w:val="24542F98"/>
    <w:rsid w:val="24607027"/>
    <w:rsid w:val="2482439A"/>
    <w:rsid w:val="24B54C38"/>
    <w:rsid w:val="24D53E72"/>
    <w:rsid w:val="24FC644A"/>
    <w:rsid w:val="25206B32"/>
    <w:rsid w:val="252C38F8"/>
    <w:rsid w:val="256879C9"/>
    <w:rsid w:val="25BB7F79"/>
    <w:rsid w:val="25DC4EE2"/>
    <w:rsid w:val="25EC619C"/>
    <w:rsid w:val="27077BE6"/>
    <w:rsid w:val="27372B0F"/>
    <w:rsid w:val="2738594D"/>
    <w:rsid w:val="27842671"/>
    <w:rsid w:val="27B84667"/>
    <w:rsid w:val="27E34E31"/>
    <w:rsid w:val="283745C5"/>
    <w:rsid w:val="283D11FE"/>
    <w:rsid w:val="283D29E4"/>
    <w:rsid w:val="28DD2917"/>
    <w:rsid w:val="294025CD"/>
    <w:rsid w:val="29773EF0"/>
    <w:rsid w:val="29980D61"/>
    <w:rsid w:val="29A552E6"/>
    <w:rsid w:val="29E07B97"/>
    <w:rsid w:val="29FD04D3"/>
    <w:rsid w:val="2A285398"/>
    <w:rsid w:val="2ABE7A3E"/>
    <w:rsid w:val="2AC4777C"/>
    <w:rsid w:val="2AE21374"/>
    <w:rsid w:val="2B09130B"/>
    <w:rsid w:val="2B1C2CAA"/>
    <w:rsid w:val="2B703275"/>
    <w:rsid w:val="2BD77C01"/>
    <w:rsid w:val="2C3D2A0A"/>
    <w:rsid w:val="2CD21D3E"/>
    <w:rsid w:val="2D097943"/>
    <w:rsid w:val="2D162164"/>
    <w:rsid w:val="2D4D0205"/>
    <w:rsid w:val="2DDF466F"/>
    <w:rsid w:val="2E8F72AC"/>
    <w:rsid w:val="2EDB760A"/>
    <w:rsid w:val="2F620536"/>
    <w:rsid w:val="2F6D0BD8"/>
    <w:rsid w:val="2F8C744F"/>
    <w:rsid w:val="2FDC23DA"/>
    <w:rsid w:val="30224AD1"/>
    <w:rsid w:val="30A41B2F"/>
    <w:rsid w:val="31754F9B"/>
    <w:rsid w:val="319F13BE"/>
    <w:rsid w:val="319F7F4E"/>
    <w:rsid w:val="31B51368"/>
    <w:rsid w:val="328B1570"/>
    <w:rsid w:val="32B52FCC"/>
    <w:rsid w:val="32C23575"/>
    <w:rsid w:val="32CF2E78"/>
    <w:rsid w:val="332240C6"/>
    <w:rsid w:val="334839CE"/>
    <w:rsid w:val="336A7DE0"/>
    <w:rsid w:val="33A94190"/>
    <w:rsid w:val="33CE4379"/>
    <w:rsid w:val="33F12C4F"/>
    <w:rsid w:val="34413087"/>
    <w:rsid w:val="34441EB1"/>
    <w:rsid w:val="346B6750"/>
    <w:rsid w:val="35401E71"/>
    <w:rsid w:val="355C034E"/>
    <w:rsid w:val="35805F76"/>
    <w:rsid w:val="35E215AB"/>
    <w:rsid w:val="35E7620B"/>
    <w:rsid w:val="367335C1"/>
    <w:rsid w:val="36B169CB"/>
    <w:rsid w:val="36E1775A"/>
    <w:rsid w:val="39252EBD"/>
    <w:rsid w:val="3927476F"/>
    <w:rsid w:val="3929050B"/>
    <w:rsid w:val="394828B1"/>
    <w:rsid w:val="396F28B4"/>
    <w:rsid w:val="39755BC7"/>
    <w:rsid w:val="3A343917"/>
    <w:rsid w:val="3AC72C1F"/>
    <w:rsid w:val="3AEC6A61"/>
    <w:rsid w:val="3B7E0624"/>
    <w:rsid w:val="3B8B3B90"/>
    <w:rsid w:val="3BA64DF5"/>
    <w:rsid w:val="3BDB1F6D"/>
    <w:rsid w:val="3C0C0783"/>
    <w:rsid w:val="3C4C2B4E"/>
    <w:rsid w:val="3C9D3FF2"/>
    <w:rsid w:val="3CF83300"/>
    <w:rsid w:val="3DDB5C77"/>
    <w:rsid w:val="3DF34018"/>
    <w:rsid w:val="3DF84A4B"/>
    <w:rsid w:val="3DFC46FB"/>
    <w:rsid w:val="3E3337CC"/>
    <w:rsid w:val="3E531D20"/>
    <w:rsid w:val="3E5D4B91"/>
    <w:rsid w:val="3E813560"/>
    <w:rsid w:val="3E9000D9"/>
    <w:rsid w:val="3F095ED1"/>
    <w:rsid w:val="3F2A44DF"/>
    <w:rsid w:val="3F757F8A"/>
    <w:rsid w:val="3F8B0C0F"/>
    <w:rsid w:val="3FAD563A"/>
    <w:rsid w:val="40050B29"/>
    <w:rsid w:val="402A128E"/>
    <w:rsid w:val="407C7BD9"/>
    <w:rsid w:val="40E17906"/>
    <w:rsid w:val="40F93028"/>
    <w:rsid w:val="416713B2"/>
    <w:rsid w:val="41F93782"/>
    <w:rsid w:val="424338AA"/>
    <w:rsid w:val="42D31DC6"/>
    <w:rsid w:val="42DD25B8"/>
    <w:rsid w:val="42E74660"/>
    <w:rsid w:val="431B4380"/>
    <w:rsid w:val="43734411"/>
    <w:rsid w:val="43A065AA"/>
    <w:rsid w:val="43A30EBB"/>
    <w:rsid w:val="43F877C9"/>
    <w:rsid w:val="440106B9"/>
    <w:rsid w:val="44026589"/>
    <w:rsid w:val="454C6E77"/>
    <w:rsid w:val="45543567"/>
    <w:rsid w:val="459C0199"/>
    <w:rsid w:val="45A900CE"/>
    <w:rsid w:val="461F604A"/>
    <w:rsid w:val="46F62F02"/>
    <w:rsid w:val="47074AA8"/>
    <w:rsid w:val="4724221D"/>
    <w:rsid w:val="47310DC7"/>
    <w:rsid w:val="47862DC5"/>
    <w:rsid w:val="47A553E8"/>
    <w:rsid w:val="47C94468"/>
    <w:rsid w:val="48676D7B"/>
    <w:rsid w:val="489F657F"/>
    <w:rsid w:val="49210CC8"/>
    <w:rsid w:val="493074A2"/>
    <w:rsid w:val="493C27E9"/>
    <w:rsid w:val="495A6F4D"/>
    <w:rsid w:val="496F39ED"/>
    <w:rsid w:val="49BE76B2"/>
    <w:rsid w:val="49BF74EA"/>
    <w:rsid w:val="49FF41D3"/>
    <w:rsid w:val="4A7863CE"/>
    <w:rsid w:val="4A850C4C"/>
    <w:rsid w:val="4B0B06F0"/>
    <w:rsid w:val="4B666FE8"/>
    <w:rsid w:val="4B916F75"/>
    <w:rsid w:val="4BE068DB"/>
    <w:rsid w:val="4BF6002B"/>
    <w:rsid w:val="4C154272"/>
    <w:rsid w:val="4C1D116C"/>
    <w:rsid w:val="4C2D005A"/>
    <w:rsid w:val="4C45145A"/>
    <w:rsid w:val="4C572821"/>
    <w:rsid w:val="4C97140F"/>
    <w:rsid w:val="4CB553E3"/>
    <w:rsid w:val="4CED076E"/>
    <w:rsid w:val="4D3D0CB5"/>
    <w:rsid w:val="4D64576B"/>
    <w:rsid w:val="4D8243C7"/>
    <w:rsid w:val="4DA804CB"/>
    <w:rsid w:val="4E0A0A8B"/>
    <w:rsid w:val="4ECE2238"/>
    <w:rsid w:val="4F0408E3"/>
    <w:rsid w:val="4F281E6B"/>
    <w:rsid w:val="4F3D570E"/>
    <w:rsid w:val="4F7E6E24"/>
    <w:rsid w:val="4F8745B3"/>
    <w:rsid w:val="50A01768"/>
    <w:rsid w:val="50C32BC5"/>
    <w:rsid w:val="5138012D"/>
    <w:rsid w:val="517D3D28"/>
    <w:rsid w:val="52795294"/>
    <w:rsid w:val="5296322D"/>
    <w:rsid w:val="52C45541"/>
    <w:rsid w:val="52D61862"/>
    <w:rsid w:val="52F319C2"/>
    <w:rsid w:val="53814C4A"/>
    <w:rsid w:val="54062A13"/>
    <w:rsid w:val="54C20829"/>
    <w:rsid w:val="54DD3443"/>
    <w:rsid w:val="551F2792"/>
    <w:rsid w:val="57537CDB"/>
    <w:rsid w:val="57562F44"/>
    <w:rsid w:val="57826737"/>
    <w:rsid w:val="579473DF"/>
    <w:rsid w:val="57A021EE"/>
    <w:rsid w:val="57F91082"/>
    <w:rsid w:val="580E7DA8"/>
    <w:rsid w:val="585A43B4"/>
    <w:rsid w:val="58AF5350"/>
    <w:rsid w:val="58DD5FD4"/>
    <w:rsid w:val="59B4458F"/>
    <w:rsid w:val="59DD2E35"/>
    <w:rsid w:val="5A102393"/>
    <w:rsid w:val="5A3143BA"/>
    <w:rsid w:val="5A4B31FD"/>
    <w:rsid w:val="5A7360A4"/>
    <w:rsid w:val="5B7C6728"/>
    <w:rsid w:val="5B846E74"/>
    <w:rsid w:val="5B865E6B"/>
    <w:rsid w:val="5C4516E8"/>
    <w:rsid w:val="5C995956"/>
    <w:rsid w:val="5D09262B"/>
    <w:rsid w:val="5D380045"/>
    <w:rsid w:val="5D717B38"/>
    <w:rsid w:val="5E32275E"/>
    <w:rsid w:val="5FAC5F1B"/>
    <w:rsid w:val="5FCF7353"/>
    <w:rsid w:val="5FF771D1"/>
    <w:rsid w:val="60F876E1"/>
    <w:rsid w:val="61446CE2"/>
    <w:rsid w:val="61BB6D6F"/>
    <w:rsid w:val="61E74800"/>
    <w:rsid w:val="61FF3EB4"/>
    <w:rsid w:val="625873FD"/>
    <w:rsid w:val="62734705"/>
    <w:rsid w:val="628C565B"/>
    <w:rsid w:val="6354441A"/>
    <w:rsid w:val="63A84D09"/>
    <w:rsid w:val="64092204"/>
    <w:rsid w:val="64835606"/>
    <w:rsid w:val="64A006DF"/>
    <w:rsid w:val="64CA39A1"/>
    <w:rsid w:val="64F7584F"/>
    <w:rsid w:val="651223C8"/>
    <w:rsid w:val="65274879"/>
    <w:rsid w:val="6581785D"/>
    <w:rsid w:val="658613C0"/>
    <w:rsid w:val="65B10D79"/>
    <w:rsid w:val="65F53BD7"/>
    <w:rsid w:val="660C381E"/>
    <w:rsid w:val="6627552D"/>
    <w:rsid w:val="66407E1F"/>
    <w:rsid w:val="665F7F94"/>
    <w:rsid w:val="6663678E"/>
    <w:rsid w:val="66822BEC"/>
    <w:rsid w:val="668D797B"/>
    <w:rsid w:val="66CC0AE4"/>
    <w:rsid w:val="66CE394A"/>
    <w:rsid w:val="66E17E19"/>
    <w:rsid w:val="66F55ED8"/>
    <w:rsid w:val="671B1835"/>
    <w:rsid w:val="67EB6379"/>
    <w:rsid w:val="68344038"/>
    <w:rsid w:val="68DD0801"/>
    <w:rsid w:val="692E560B"/>
    <w:rsid w:val="69726E84"/>
    <w:rsid w:val="69ED0CF4"/>
    <w:rsid w:val="6B3B1ECF"/>
    <w:rsid w:val="6BA333BB"/>
    <w:rsid w:val="6C2A00DB"/>
    <w:rsid w:val="6C4A05C8"/>
    <w:rsid w:val="6CF10D59"/>
    <w:rsid w:val="6D993774"/>
    <w:rsid w:val="6EA50404"/>
    <w:rsid w:val="6FA10F9D"/>
    <w:rsid w:val="70486108"/>
    <w:rsid w:val="70546035"/>
    <w:rsid w:val="7088548A"/>
    <w:rsid w:val="70C3542B"/>
    <w:rsid w:val="71554035"/>
    <w:rsid w:val="71644756"/>
    <w:rsid w:val="7268104E"/>
    <w:rsid w:val="726D5814"/>
    <w:rsid w:val="72734D90"/>
    <w:rsid w:val="72E9753C"/>
    <w:rsid w:val="73295B04"/>
    <w:rsid w:val="735A0B04"/>
    <w:rsid w:val="73666B70"/>
    <w:rsid w:val="74744614"/>
    <w:rsid w:val="75270C7B"/>
    <w:rsid w:val="756C11C2"/>
    <w:rsid w:val="759463A9"/>
    <w:rsid w:val="75AF75E7"/>
    <w:rsid w:val="76DA37A9"/>
    <w:rsid w:val="772B3763"/>
    <w:rsid w:val="774A08B6"/>
    <w:rsid w:val="77786305"/>
    <w:rsid w:val="777E7776"/>
    <w:rsid w:val="778251C5"/>
    <w:rsid w:val="780064FD"/>
    <w:rsid w:val="78515BD6"/>
    <w:rsid w:val="7902780E"/>
    <w:rsid w:val="7965235B"/>
    <w:rsid w:val="79EF1AF0"/>
    <w:rsid w:val="7A1C043D"/>
    <w:rsid w:val="7A636770"/>
    <w:rsid w:val="7A9D28D8"/>
    <w:rsid w:val="7ABD7039"/>
    <w:rsid w:val="7AC10694"/>
    <w:rsid w:val="7B045A02"/>
    <w:rsid w:val="7B79062D"/>
    <w:rsid w:val="7B7C0C2E"/>
    <w:rsid w:val="7BC10B80"/>
    <w:rsid w:val="7BFF5B60"/>
    <w:rsid w:val="7C0606FA"/>
    <w:rsid w:val="7C076055"/>
    <w:rsid w:val="7C0B7F81"/>
    <w:rsid w:val="7C5A2502"/>
    <w:rsid w:val="7C950A0A"/>
    <w:rsid w:val="7CAE51A0"/>
    <w:rsid w:val="7DBF590D"/>
    <w:rsid w:val="7E05347E"/>
    <w:rsid w:val="7E9B3F01"/>
    <w:rsid w:val="7EAB2FCF"/>
    <w:rsid w:val="7F566C90"/>
    <w:rsid w:val="7F793A64"/>
    <w:rsid w:val="7F7B5CD2"/>
    <w:rsid w:val="7F982B3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4605;&#24605;\Desktop\&#22270;&#34920;&#31435;&#20307;.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24605;&#24605;\Desktop\&#22270;&#34920;&#31435;&#2030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24605;&#24605;\Desktop\&#22270;&#34920;&#31435;&#20307;.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24605;&#24605;\Desktop\&#22270;&#34920;&#31435;&#20307;.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24605;&#24605;\Desktop\&#22270;&#34920;&#31435;&#20307;.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24605;&#24605;\Desktop\&#22270;&#34920;&#31435;&#203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仿宋" panose="02010609060101010101" pitchFamily="3" charset="-122"/>
                <a:ea typeface="仿宋" panose="02010609060101010101" pitchFamily="3" charset="-122"/>
                <a:cs typeface="+mn-cs"/>
              </a:defRPr>
            </a:pPr>
            <a:r>
              <a:rPr lang="zh-CN" altLang="en-US">
                <a:latin typeface="仿宋" panose="02010609060101010101" pitchFamily="3" charset="-122"/>
                <a:ea typeface="仿宋" panose="02010609060101010101" pitchFamily="3" charset="-122"/>
              </a:rPr>
              <a:t>图</a:t>
            </a:r>
            <a:r>
              <a:rPr lang="en-US" altLang="zh-CN">
                <a:latin typeface="仿宋" panose="02010609060101010101" pitchFamily="3" charset="-122"/>
                <a:ea typeface="仿宋" panose="02010609060101010101" pitchFamily="3" charset="-122"/>
              </a:rPr>
              <a:t>1</a:t>
            </a:r>
            <a:r>
              <a:rPr lang="zh-CN" altLang="en-US">
                <a:latin typeface="仿宋" panose="02010609060101010101" pitchFamily="3" charset="-122"/>
                <a:ea typeface="仿宋" panose="02010609060101010101" pitchFamily="3" charset="-122"/>
              </a:rPr>
              <a:t>：收、支决算总计变动情况（万元）</a:t>
            </a:r>
            <a:endParaRPr lang="zh-CN" altLang="en-US">
              <a:latin typeface="仿宋" panose="02010609060101010101" pitchFamily="3" charset="-122"/>
              <a:ea typeface="仿宋" panose="02010609060101010101" pitchFamily="3" charset="-122"/>
            </a:endParaRPr>
          </a:p>
        </c:rich>
      </c:tx>
      <c:layout/>
      <c:overlay val="0"/>
    </c:title>
    <c:autoTitleDeleted val="0"/>
    <c:plotArea>
      <c:layout/>
      <c:barChart>
        <c:barDir val="col"/>
        <c:grouping val="clustered"/>
        <c:varyColors val="0"/>
        <c:ser>
          <c:idx val="0"/>
          <c:order val="0"/>
          <c:tx>
            <c:strRef>
              <c:f>Sheet1!$A$25</c:f>
              <c:strCache>
                <c:ptCount val="1"/>
                <c:pt idx="0">
                  <c:v>2020</c:v>
                </c:pt>
              </c:strCache>
            </c:strRef>
          </c:tx>
          <c:invertIfNegative val="0"/>
          <c:dLbls>
            <c:dLbl>
              <c:idx val="0"/>
              <c:layout>
                <c:manualLayout>
                  <c:x val="0.0222222222222222"/>
                  <c:y val="-0.03438395415472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88888888888889"/>
                  <c:y val="-0.0458452722063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_(* #,##0.00_);_(* \(#,##0.00\);_(* &quot;-&quot;??_);_(@_)"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Sheet1!$B$24:$C$24</c:f>
              <c:strCache>
                <c:ptCount val="2"/>
                <c:pt idx="0">
                  <c:v>收入</c:v>
                </c:pt>
                <c:pt idx="1">
                  <c:v>支出</c:v>
                </c:pt>
              </c:strCache>
            </c:strRef>
          </c:cat>
          <c:val>
            <c:numRef>
              <c:f>Sheet1!$B$25:$C$25</c:f>
              <c:numCache>
                <c:formatCode>#,##0.00_);[Red]\(#,##0.00\)</c:formatCode>
                <c:ptCount val="2"/>
                <c:pt idx="0">
                  <c:v>142.39</c:v>
                </c:pt>
                <c:pt idx="1">
                  <c:v>142.39</c:v>
                </c:pt>
              </c:numCache>
            </c:numRef>
          </c:val>
        </c:ser>
        <c:ser>
          <c:idx val="1"/>
          <c:order val="1"/>
          <c:tx>
            <c:strRef>
              <c:f>Sheet1!$A$26</c:f>
              <c:strCache>
                <c:ptCount val="1"/>
                <c:pt idx="0">
                  <c:v>2021</c:v>
                </c:pt>
              </c:strCache>
            </c:strRef>
          </c:tx>
          <c:invertIfNegative val="0"/>
          <c:dLbls>
            <c:dLbl>
              <c:idx val="0"/>
              <c:layout>
                <c:manualLayout>
                  <c:x val="0.0611111111111111"/>
                  <c:y val="-0.03438395415472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05555555555557"/>
                  <c:y val="-0.03438395415472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Sheet1!$B$24:$C$24</c:f>
              <c:strCache>
                <c:ptCount val="2"/>
                <c:pt idx="0">
                  <c:v>收入</c:v>
                </c:pt>
                <c:pt idx="1">
                  <c:v>支出</c:v>
                </c:pt>
              </c:strCache>
            </c:strRef>
          </c:cat>
          <c:val>
            <c:numRef>
              <c:f>Sheet1!$B$26:$C$26</c:f>
              <c:numCache>
                <c:formatCode>#,##0.00_);[Red]\(#,##0.00\)</c:formatCode>
                <c:ptCount val="2"/>
                <c:pt idx="0">
                  <c:v>157.53</c:v>
                </c:pt>
                <c:pt idx="1">
                  <c:v>157.53</c:v>
                </c:pt>
              </c:numCache>
            </c:numRef>
          </c:val>
        </c:ser>
        <c:dLbls>
          <c:showLegendKey val="0"/>
          <c:showVal val="0"/>
          <c:showCatName val="0"/>
          <c:showSerName val="0"/>
          <c:showPercent val="0"/>
          <c:showBubbleSize val="0"/>
        </c:dLbls>
        <c:gapWidth val="150"/>
        <c:axId val="43579264"/>
        <c:axId val="43580800"/>
      </c:barChart>
      <c:catAx>
        <c:axId val="4357926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580800"/>
        <c:crosses val="autoZero"/>
        <c:auto val="1"/>
        <c:lblAlgn val="ctr"/>
        <c:lblOffset val="100"/>
        <c:noMultiLvlLbl val="0"/>
      </c:catAx>
      <c:valAx>
        <c:axId val="43580800"/>
        <c:scaling>
          <c:orientation val="minMax"/>
        </c:scaling>
        <c:delete val="0"/>
        <c:axPos val="l"/>
        <c:majorGridlines/>
        <c:numFmt formatCode="#,##0.00_);[Red]\(#,##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579264"/>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2</a:t>
            </a:r>
            <a:r>
              <a:rPr lang="zh-CN" altLang="zh-CN" sz="1200" b="0" i="0" u="none" strike="noStrike" baseline="0">
                <a:effectLst/>
              </a:rPr>
              <a:t>：收入决算结构图</a:t>
            </a:r>
            <a:endParaRPr lang="zh-CN" altLang="en-US" sz="1200" b="0"/>
          </a:p>
        </c:rich>
      </c:tx>
      <c:layout>
        <c:manualLayout>
          <c:xMode val="edge"/>
          <c:yMode val="edge"/>
          <c:x val="0.287287070905476"/>
          <c:y val="0"/>
        </c:manualLayout>
      </c:layout>
      <c:overlay val="0"/>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554130603773725"/>
          <c:y val="0.229038069176493"/>
          <c:w val="0.823038941282148"/>
          <c:h val="0.475956173638734"/>
        </c:manualLayout>
      </c:layout>
      <c:pie3DChart>
        <c:varyColors val="1"/>
        <c:ser>
          <c:idx val="0"/>
          <c:order val="0"/>
          <c:tx>
            <c:strRef>
              <c:f>Sheet1!$B$1</c:f>
              <c:strCache>
                <c:ptCount val="1"/>
                <c:pt idx="0">
                  <c:v>销售额</c:v>
                </c:pt>
              </c:strCache>
            </c:strRef>
          </c:tx>
          <c:spPr>
            <a:scene3d>
              <a:camera prst="orthographicFront"/>
              <a:lightRig rig="threePt" dir="t"/>
            </a:scene3d>
            <a:sp3d contourW="25400"/>
          </c:spPr>
          <c:explosion val="0"/>
          <c:dPt>
            <c:idx val="0"/>
            <c:bubble3D val="0"/>
            <c:spPr>
              <a:solidFill>
                <a:srgbClr val="4F81BD"/>
              </a:solidFill>
              <a:ln w="25400">
                <a:solidFill>
                  <a:srgbClr val="FFFFFF"/>
                </a:solidFill>
              </a:ln>
              <a:effectLst/>
              <a:scene3d>
                <a:camera prst="orthographicFront"/>
                <a:lightRig rig="threePt" dir="t"/>
              </a:scene3d>
              <a:sp3d contourW="25400"/>
            </c:spPr>
          </c:dPt>
          <c:dLbls>
            <c:dLbl>
              <c:idx val="0"/>
              <c:layout>
                <c:manualLayout>
                  <c:x val="0.213975540000735"/>
                  <c:y val="-0.226418336567542"/>
                </c:manualLayout>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zh-CN" altLang="en-US"/>
                      <a:t>一般公共预算财政拨款收入</a:t>
                    </a:r>
                    <a:r>
                      <a:rPr lang="en-US" altLang="zh-CN"/>
                      <a:t>157.53</a:t>
                    </a:r>
                    <a:r>
                      <a:rPr lang="zh-CN" altLang="en-US"/>
                      <a:t>万元</a:t>
                    </a:r>
                    <a:endParaRPr lang="zh-CN" altLang="en-US"/>
                  </a:p>
                </c:rich>
              </c:tx>
              <c:dLblPos val="bestFit"/>
              <c:showLegendKey val="0"/>
              <c:showVal val="1"/>
              <c:showCatName val="0"/>
              <c:showSerName val="0"/>
              <c:showPercent val="0"/>
              <c:showBubbleSize val="0"/>
              <c:extLst>
                <c:ext xmlns:c15="http://schemas.microsoft.com/office/drawing/2012/chart" uri="{CE6537A1-D6FC-4f65-9D91-7224C49458BB}">
                  <c15:layout>
                    <c:manualLayout>
                      <c:w val="0.458875"/>
                      <c:h val="0.06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397.17</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800" b="1" i="0" u="none" strike="noStrike" kern="1200" baseline="0">
                <a:solidFill>
                  <a:sysClr val="windowText" lastClr="000000"/>
                </a:solidFill>
                <a:latin typeface="仿宋" panose="02010609060101010101" pitchFamily="3" charset="-122"/>
                <a:ea typeface="仿宋" panose="02010609060101010101" pitchFamily="3" charset="-122"/>
                <a:cs typeface="+mn-cs"/>
              </a:defRPr>
            </a:pPr>
            <a:r>
              <a:rPr lang="zh-CN" altLang="en-US" sz="1800">
                <a:effectLst/>
                <a:latin typeface="仿宋" panose="02010609060101010101" pitchFamily="3" charset="-122"/>
                <a:ea typeface="仿宋" panose="02010609060101010101" pitchFamily="3" charset="-122"/>
              </a:rPr>
              <a:t>图</a:t>
            </a:r>
            <a:r>
              <a:rPr lang="en-US" altLang="zh-CN" sz="1800">
                <a:effectLst/>
                <a:latin typeface="仿宋" panose="02010609060101010101" pitchFamily="3" charset="-122"/>
                <a:ea typeface="仿宋" panose="02010609060101010101" pitchFamily="3" charset="-122"/>
              </a:rPr>
              <a:t>3</a:t>
            </a:r>
            <a:r>
              <a:rPr lang="zh-CN" altLang="en-US" sz="1800">
                <a:effectLst/>
                <a:latin typeface="仿宋" panose="02010609060101010101" pitchFamily="3" charset="-122"/>
                <a:ea typeface="仿宋" panose="02010609060101010101" pitchFamily="3" charset="-122"/>
              </a:rPr>
              <a:t>：支出决算结构</a:t>
            </a:r>
            <a:r>
              <a:rPr lang="zh-CN" altLang="en-US">
                <a:latin typeface="仿宋" panose="02010609060101010101" pitchFamily="3" charset="-122"/>
                <a:ea typeface="仿宋" panose="02010609060101010101" pitchFamily="3" charset="-122"/>
              </a:rPr>
              <a:t> </a:t>
            </a:r>
            <a:endParaRPr lang="zh-CN" altLang="en-US">
              <a:latin typeface="仿宋" panose="02010609060101010101" pitchFamily="3" charset="-122"/>
              <a:ea typeface="仿宋" panose="02010609060101010101" pitchFamily="3" charset="-122"/>
            </a:endParaRPr>
          </a:p>
        </c:rich>
      </c:tx>
      <c:layout/>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Sheet1!$B$57</c:f>
              <c:strCache>
                <c:ptCount val="1"/>
                <c:pt idx="0">
                  <c:v>金额 </c:v>
                </c:pt>
              </c:strCache>
            </c:strRef>
          </c:tx>
          <c:explosion val="25"/>
          <c:dPt>
            <c:idx val="0"/>
            <c:bubble3D val="0"/>
          </c:dPt>
          <c:dPt>
            <c:idx val="1"/>
            <c:bubble3D val="0"/>
          </c:dPt>
          <c:dLbls>
            <c:dLbl>
              <c:idx val="0"/>
              <c:layout>
                <c:manualLayout>
                  <c:x val="0.075"/>
                  <c:y val="-0.041666666666666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148.89 </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3333333333333"/>
                  <c:y val="-0.055555555555555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8.64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_(* #,##0.00_);_(* \(#,##0.00\);_(* &quot;-&quot;??_);_(@_)" sourceLinked="0"/>
            <c:spPr>
              <a:noFill/>
              <a:ln>
                <a:noFill/>
              </a:ln>
              <a:effectLst/>
              <a:scene3d>
                <a:camera prst="orthographicFront"/>
                <a:lightRig rig="threePt" dir="t"/>
              </a:scene3d>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Sheet1!$A$58:$A$59</c:f>
              <c:strCache>
                <c:ptCount val="2"/>
                <c:pt idx="0">
                  <c:v>基本支出</c:v>
                </c:pt>
                <c:pt idx="1">
                  <c:v>项目支出</c:v>
                </c:pt>
              </c:strCache>
            </c:strRef>
          </c:cat>
          <c:val>
            <c:numRef>
              <c:f>Sheet1!$B$58:$B$59</c:f>
              <c:numCache>
                <c:formatCode>#,##0.00_);[Red]\(#,##0.00\)</c:formatCode>
                <c:ptCount val="2"/>
                <c:pt idx="0">
                  <c:v>148.9</c:v>
                </c:pt>
                <c:pt idx="1">
                  <c:v>8.63</c:v>
                </c:pt>
              </c:numCache>
            </c:numRef>
          </c:val>
        </c:ser>
        <c:dLbls>
          <c:showLegendKey val="0"/>
          <c:showVal val="1"/>
          <c:showCatName val="0"/>
          <c:showSerName val="0"/>
          <c:showPercent val="0"/>
          <c:showBubbleSize val="0"/>
        </c:dLbls>
      </c:pie3DChart>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仿宋" panose="02010609060101010101" pitchFamily="3" charset="-122"/>
                <a:ea typeface="仿宋" panose="02010609060101010101" pitchFamily="3" charset="-122"/>
                <a:cs typeface="+mn-cs"/>
              </a:defRPr>
            </a:pPr>
            <a:r>
              <a:rPr lang="zh-CN" altLang="en-US" sz="1800">
                <a:effectLst/>
                <a:latin typeface="仿宋" panose="02010609060101010101" pitchFamily="3" charset="-122"/>
                <a:ea typeface="仿宋" panose="02010609060101010101" pitchFamily="3" charset="-122"/>
              </a:rPr>
              <a:t>图</a:t>
            </a:r>
            <a:r>
              <a:rPr lang="en-US" altLang="zh-CN" sz="1800">
                <a:effectLst/>
                <a:latin typeface="仿宋" panose="02010609060101010101" pitchFamily="3" charset="-122"/>
                <a:ea typeface="仿宋" panose="02010609060101010101" pitchFamily="3" charset="-122"/>
              </a:rPr>
              <a:t>4</a:t>
            </a:r>
            <a:r>
              <a:rPr lang="zh-CN" altLang="en-US" sz="1800">
                <a:effectLst/>
                <a:latin typeface="仿宋" panose="02010609060101010101" pitchFamily="3" charset="-122"/>
                <a:ea typeface="仿宋" panose="02010609060101010101" pitchFamily="3" charset="-122"/>
              </a:rPr>
              <a:t>：财政拨款收、支决算总计变动情况</a:t>
            </a:r>
            <a:endParaRPr lang="zh-CN" altLang="en-US" sz="1800">
              <a:effectLst/>
              <a:latin typeface="仿宋" panose="02010609060101010101" pitchFamily="3" charset="-122"/>
              <a:ea typeface="仿宋" panose="02010609060101010101" pitchFamily="3" charset="-122"/>
            </a:endParaRPr>
          </a:p>
        </c:rich>
      </c:tx>
      <c:layout/>
      <c:overlay val="0"/>
    </c:title>
    <c:autoTitleDeleted val="0"/>
    <c:plotArea>
      <c:layout/>
      <c:barChart>
        <c:barDir val="col"/>
        <c:grouping val="clustered"/>
        <c:varyColors val="0"/>
        <c:ser>
          <c:idx val="0"/>
          <c:order val="0"/>
          <c:tx>
            <c:strRef>
              <c:f>Sheet1!$B$80:$B$81</c:f>
              <c:strCache>
                <c:ptCount val="1"/>
                <c:pt idx="0">
                  <c:v>2021</c:v>
                </c:pt>
              </c:strCache>
            </c:strRef>
          </c:tx>
          <c:invertIfNegative val="0"/>
          <c:dLbls>
            <c:dLbl>
              <c:idx val="0"/>
              <c:layout>
                <c:manualLayout>
                  <c:x val="0.0166666666666667"/>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61111111111112"/>
                  <c:y val="-0.0509259259259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Sheet1!$A$82:$A$83</c:f>
              <c:strCache>
                <c:ptCount val="2"/>
                <c:pt idx="0">
                  <c:v>财政拨款收入</c:v>
                </c:pt>
                <c:pt idx="1">
                  <c:v>财政拨款支出</c:v>
                </c:pt>
              </c:strCache>
            </c:strRef>
          </c:cat>
          <c:val>
            <c:numRef>
              <c:f>Sheet1!$B$82:$B$83</c:f>
              <c:numCache>
                <c:formatCode>#,##0.00_);[Red]\(#,##0.00\)</c:formatCode>
                <c:ptCount val="2"/>
                <c:pt idx="0">
                  <c:v>157.53</c:v>
                </c:pt>
                <c:pt idx="1">
                  <c:v>157.53</c:v>
                </c:pt>
              </c:numCache>
            </c:numRef>
          </c:val>
        </c:ser>
        <c:ser>
          <c:idx val="1"/>
          <c:order val="1"/>
          <c:tx>
            <c:strRef>
              <c:f>Sheet1!$C$80:$C$81</c:f>
              <c:strCache>
                <c:ptCount val="1"/>
                <c:pt idx="0">
                  <c:v>2020</c:v>
                </c:pt>
              </c:strCache>
            </c:strRef>
          </c:tx>
          <c:invertIfNegative val="0"/>
          <c:dLbls>
            <c:dLbl>
              <c:idx val="0"/>
              <c:layout>
                <c:manualLayout>
                  <c:x val="0.075"/>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833333333333333"/>
                  <c:y val="-0.04166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Sheet1!$A$82:$A$83</c:f>
              <c:strCache>
                <c:ptCount val="2"/>
                <c:pt idx="0">
                  <c:v>财政拨款收入</c:v>
                </c:pt>
                <c:pt idx="1">
                  <c:v>财政拨款支出</c:v>
                </c:pt>
              </c:strCache>
            </c:strRef>
          </c:cat>
          <c:val>
            <c:numRef>
              <c:f>Sheet1!$C$82:$C$83</c:f>
              <c:numCache>
                <c:formatCode>#,##0.00_);[Red]\(#,##0.00\)</c:formatCode>
                <c:ptCount val="2"/>
                <c:pt idx="0">
                  <c:v>142.39</c:v>
                </c:pt>
                <c:pt idx="1">
                  <c:v>142.39</c:v>
                </c:pt>
              </c:numCache>
            </c:numRef>
          </c:val>
        </c:ser>
        <c:dLbls>
          <c:showLegendKey val="0"/>
          <c:showVal val="0"/>
          <c:showCatName val="0"/>
          <c:showSerName val="0"/>
          <c:showPercent val="0"/>
          <c:showBubbleSize val="0"/>
        </c:dLbls>
        <c:gapWidth val="150"/>
        <c:axId val="43912192"/>
        <c:axId val="43963520"/>
      </c:barChart>
      <c:catAx>
        <c:axId val="4391219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963520"/>
        <c:crosses val="autoZero"/>
        <c:auto val="1"/>
        <c:lblAlgn val="ctr"/>
        <c:lblOffset val="100"/>
        <c:noMultiLvlLbl val="0"/>
      </c:catAx>
      <c:valAx>
        <c:axId val="43963520"/>
        <c:scaling>
          <c:orientation val="minMax"/>
        </c:scaling>
        <c:delete val="0"/>
        <c:axPos val="l"/>
        <c:majorGridlines/>
        <c:numFmt formatCode="#,##0.00_);[Red]\(#,##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912192"/>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800" b="1" i="0" u="none" strike="noStrike" kern="1200" baseline="0">
                <a:solidFill>
                  <a:sysClr val="windowText" lastClr="000000"/>
                </a:solidFill>
                <a:latin typeface="仿宋" panose="02010609060101010101" pitchFamily="3" charset="-122"/>
                <a:ea typeface="仿宋" panose="02010609060101010101" pitchFamily="3" charset="-122"/>
                <a:cs typeface="+mn-cs"/>
              </a:defRPr>
            </a:pPr>
            <a:r>
              <a:rPr lang="zh-CN" altLang="en-US" sz="1800">
                <a:effectLst/>
                <a:latin typeface="仿宋" panose="02010609060101010101" pitchFamily="3" charset="-122"/>
                <a:ea typeface="仿宋" panose="02010609060101010101" pitchFamily="3" charset="-122"/>
              </a:rPr>
              <a:t>图</a:t>
            </a:r>
            <a:r>
              <a:rPr lang="en-US" altLang="zh-CN" sz="1800">
                <a:effectLst/>
                <a:latin typeface="仿宋" panose="02010609060101010101" pitchFamily="3" charset="-122"/>
                <a:ea typeface="仿宋" panose="02010609060101010101" pitchFamily="3" charset="-122"/>
              </a:rPr>
              <a:t>5</a:t>
            </a:r>
            <a:r>
              <a:rPr lang="zh-CN" altLang="en-US" sz="1800">
                <a:effectLst/>
                <a:latin typeface="仿宋" panose="02010609060101010101" pitchFamily="3" charset="-122"/>
                <a:ea typeface="仿宋" panose="02010609060101010101" pitchFamily="3" charset="-122"/>
              </a:rPr>
              <a:t>：一般公共预算财政拨款支出决算变动情况</a:t>
            </a:r>
            <a:endParaRPr lang="zh-CN" altLang="en-US" sz="1800">
              <a:effectLst/>
              <a:latin typeface="仿宋" panose="02010609060101010101" pitchFamily="3" charset="-122"/>
              <a:ea typeface="仿宋" panose="02010609060101010101" pitchFamily="3" charset="-122"/>
            </a:endParaRPr>
          </a:p>
        </c:rich>
      </c:tx>
      <c:layout/>
      <c:overlay val="0"/>
    </c:title>
    <c:autoTitleDeleted val="0"/>
    <c:plotArea>
      <c:layout/>
      <c:barChart>
        <c:barDir val="col"/>
        <c:grouping val="clustered"/>
        <c:varyColors val="0"/>
        <c:ser>
          <c:idx val="0"/>
          <c:order val="0"/>
          <c:tx>
            <c:strRef>
              <c:f>Sheet1!$B$104</c:f>
              <c:strCache>
                <c:ptCount val="1"/>
                <c:pt idx="0">
                  <c:v>一般公共预算财政拨款支出</c:v>
                </c:pt>
              </c:strCache>
            </c:strRef>
          </c:tx>
          <c:invertIfNegative val="0"/>
          <c:dLbls>
            <c:dLbl>
              <c:idx val="0"/>
              <c:layout>
                <c:manualLayout>
                  <c:x val="-0.0222222222222223"/>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33333333333333"/>
                  <c:y val="-0.05092592592592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Sheet1!$A$105:$A$106</c:f>
              <c:numCache>
                <c:formatCode>General</c:formatCode>
                <c:ptCount val="2"/>
                <c:pt idx="0">
                  <c:v>2020</c:v>
                </c:pt>
                <c:pt idx="1">
                  <c:v>2021</c:v>
                </c:pt>
              </c:numCache>
            </c:numRef>
          </c:cat>
          <c:val>
            <c:numRef>
              <c:f>Sheet1!$B$105:$B$106</c:f>
              <c:numCache>
                <c:formatCode>#,##0.00_);[Red]\(#,##0.00\)</c:formatCode>
                <c:ptCount val="2"/>
                <c:pt idx="0">
                  <c:v>142.39</c:v>
                </c:pt>
                <c:pt idx="1">
                  <c:v>157.53</c:v>
                </c:pt>
              </c:numCache>
            </c:numRef>
          </c:val>
        </c:ser>
        <c:dLbls>
          <c:showLegendKey val="0"/>
          <c:showVal val="0"/>
          <c:showCatName val="0"/>
          <c:showSerName val="0"/>
          <c:showPercent val="0"/>
          <c:showBubbleSize val="0"/>
        </c:dLbls>
        <c:gapWidth val="150"/>
        <c:axId val="43941248"/>
        <c:axId val="43981824"/>
      </c:barChart>
      <c:catAx>
        <c:axId val="4394124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981824"/>
        <c:crosses val="autoZero"/>
        <c:auto val="1"/>
        <c:lblAlgn val="ctr"/>
        <c:lblOffset val="100"/>
        <c:noMultiLvlLbl val="0"/>
      </c:catAx>
      <c:valAx>
        <c:axId val="43981824"/>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941248"/>
        <c:crosses val="autoZero"/>
        <c:crossBetween val="between"/>
      </c:valAx>
      <c:spPr>
        <a:solidFill>
          <a:schemeClr val="bg1"/>
        </a:solidFill>
        <a:ln>
          <a:noFill/>
        </a:ln>
        <a:effectLst/>
      </c:spPr>
    </c:plotArea>
    <c:legend>
      <c:legendPos val="r"/>
      <c:layout>
        <c:manualLayout>
          <c:xMode val="edge"/>
          <c:yMode val="edge"/>
          <c:x val="0.642243400036325"/>
          <c:y val="0.875252205316441"/>
          <c:w val="0.341474374726226"/>
          <c:h val="0.11340536380320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仿宋" panose="02010609060101010101" pitchFamily="3" charset="-122"/>
                <a:ea typeface="仿宋" panose="02010609060101010101" pitchFamily="3" charset="-122"/>
                <a:cs typeface="+mn-cs"/>
              </a:defRPr>
            </a:pPr>
            <a:r>
              <a:rPr lang="zh-CN" altLang="en-US" sz="1800">
                <a:effectLst/>
                <a:latin typeface="仿宋" panose="02010609060101010101" pitchFamily="3" charset="-122"/>
                <a:ea typeface="仿宋" panose="02010609060101010101" pitchFamily="3" charset="-122"/>
              </a:rPr>
              <a:t>图</a:t>
            </a:r>
            <a:r>
              <a:rPr lang="en-US" altLang="zh-CN" sz="1800">
                <a:effectLst/>
                <a:latin typeface="仿宋" panose="02010609060101010101" pitchFamily="3" charset="-122"/>
                <a:ea typeface="仿宋" panose="02010609060101010101" pitchFamily="3" charset="-122"/>
              </a:rPr>
              <a:t>6</a:t>
            </a:r>
            <a:r>
              <a:rPr lang="zh-CN" altLang="en-US" sz="1800">
                <a:effectLst/>
                <a:latin typeface="仿宋" panose="02010609060101010101" pitchFamily="3" charset="-122"/>
                <a:ea typeface="仿宋" panose="02010609060101010101" pitchFamily="3" charset="-122"/>
              </a:rPr>
              <a:t>：一般公共预算财政拨款支出决算结构图</a:t>
            </a:r>
            <a:endParaRPr lang="zh-CN" altLang="en-US" sz="1800">
              <a:effectLst/>
              <a:latin typeface="仿宋" panose="02010609060101010101" pitchFamily="3" charset="-122"/>
              <a:ea typeface="仿宋" panose="02010609060101010101" pitchFamily="3" charset="-122"/>
            </a:endParaRPr>
          </a:p>
        </c:rich>
      </c:tx>
      <c:layout>
        <c:manualLayout>
          <c:xMode val="edge"/>
          <c:yMode val="edge"/>
          <c:x val="0.10687489063867"/>
          <c:y val="0.0277777777777779"/>
        </c:manualLayout>
      </c:layout>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1"/>
          <c:order val="0"/>
          <c:tx>
            <c:strRef>
              <c:f>Sheet1!$B$134</c:f>
              <c:strCache>
                <c:ptCount val="1"/>
                <c:pt idx="0">
                  <c:v>支出金额</c:v>
                </c:pt>
              </c:strCache>
            </c:strRef>
          </c:tx>
          <c:explosion val="20"/>
          <c:dPt>
            <c:idx val="0"/>
            <c:bubble3D val="0"/>
          </c:dPt>
          <c:dPt>
            <c:idx val="1"/>
            <c:bubble3D val="0"/>
          </c:dPt>
          <c:dPt>
            <c:idx val="2"/>
            <c:bubble3D val="0"/>
          </c:dPt>
          <c:dPt>
            <c:idx val="3"/>
            <c:bubble3D val="0"/>
          </c:dPt>
          <c:dPt>
            <c:idx val="4"/>
            <c:bubble3D val="0"/>
          </c:dPt>
          <c:dLbls>
            <c:dLbl>
              <c:idx val="0"/>
              <c:layout>
                <c:manualLayout>
                  <c:x val="0.00160115923009624"/>
                  <c:y val="0.02493474773986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37674978127734"/>
                  <c:y val="0.028994240303295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8044619422572"/>
                  <c:y val="-0.030879994167395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11714785651792"/>
                  <c:y val="-0.06723935549722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91426071741033"/>
                  <c:y val="-0.09043124817731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Sheet1!$A$135:$A$139</c:f>
              <c:strCache>
                <c:ptCount val="5"/>
                <c:pt idx="0">
                  <c:v>公共安全支出（类）</c:v>
                </c:pt>
                <c:pt idx="1">
                  <c:v>教育支出（类）</c:v>
                </c:pt>
                <c:pt idx="2">
                  <c:v>社会保障和就业支出（类）</c:v>
                </c:pt>
                <c:pt idx="3">
                  <c:v>卫生健康支出</c:v>
                </c:pt>
                <c:pt idx="4">
                  <c:v>住房保障支出</c:v>
                </c:pt>
              </c:strCache>
            </c:strRef>
          </c:cat>
          <c:val>
            <c:numRef>
              <c:f>Sheet1!$B$135:$B$139</c:f>
              <c:numCache>
                <c:formatCode>#,##0.00_);[Red]\(#,##0.00\)</c:formatCode>
                <c:ptCount val="5"/>
                <c:pt idx="0">
                  <c:v>102.65</c:v>
                </c:pt>
                <c:pt idx="1">
                  <c:v>0.63</c:v>
                </c:pt>
                <c:pt idx="2">
                  <c:v>41.57</c:v>
                </c:pt>
                <c:pt idx="3">
                  <c:v>5.78</c:v>
                </c:pt>
                <c:pt idx="4">
                  <c:v>6.9</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仿宋" panose="02010609060101010101" pitchFamily="3" charset="-122"/>
                <a:ea typeface="仿宋" panose="02010609060101010101" pitchFamily="3" charset="-122"/>
                <a:cs typeface="+mn-cs"/>
              </a:defRPr>
            </a:pPr>
            <a:r>
              <a:rPr lang="zh-CN" altLang="en-US" sz="1800">
                <a:effectLst/>
                <a:latin typeface="仿宋" panose="02010609060101010101" pitchFamily="3" charset="-122"/>
                <a:ea typeface="仿宋" panose="02010609060101010101" pitchFamily="3" charset="-122"/>
              </a:rPr>
              <a:t>图</a:t>
            </a:r>
            <a:r>
              <a:rPr lang="en-US" altLang="zh-CN" sz="1800">
                <a:effectLst/>
                <a:latin typeface="仿宋" panose="02010609060101010101" pitchFamily="3" charset="-122"/>
                <a:ea typeface="仿宋" panose="02010609060101010101" pitchFamily="3" charset="-122"/>
              </a:rPr>
              <a:t>7</a:t>
            </a:r>
            <a:r>
              <a:rPr lang="zh-CN" altLang="en-US" sz="1800">
                <a:effectLst/>
                <a:latin typeface="仿宋" panose="02010609060101010101" pitchFamily="3" charset="-122"/>
                <a:ea typeface="仿宋" panose="02010609060101010101" pitchFamily="3" charset="-122"/>
              </a:rPr>
              <a:t>：“三公”经费财政拨款支出结构</a:t>
            </a:r>
            <a:endParaRPr lang="zh-CN" altLang="en-US" sz="1800">
              <a:effectLst/>
              <a:latin typeface="仿宋" panose="02010609060101010101" pitchFamily="3" charset="-122"/>
              <a:ea typeface="仿宋" panose="02010609060101010101" pitchFamily="3" charset="-122"/>
            </a:endParaRPr>
          </a:p>
        </c:rich>
      </c:tx>
      <c:layout/>
      <c:overlay val="0"/>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Sheet1!$B$158</c:f>
              <c:strCache>
                <c:ptCount val="1"/>
                <c:pt idx="0">
                  <c:v>万元</c:v>
                </c:pt>
              </c:strCache>
            </c:strRef>
          </c:tx>
          <c:explosion val="25"/>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Sheet1!$A$159:$A$160</c:f>
              <c:strCache>
                <c:ptCount val="2"/>
                <c:pt idx="0">
                  <c:v>公务用车购置及运行维护费支出</c:v>
                </c:pt>
                <c:pt idx="1">
                  <c:v>公务接待费支出</c:v>
                </c:pt>
              </c:strCache>
            </c:strRef>
          </c:cat>
          <c:val>
            <c:numRef>
              <c:f>Sheet1!$B$159:$B$160</c:f>
              <c:numCache>
                <c:formatCode>0.00_ </c:formatCode>
                <c:ptCount val="2"/>
                <c:pt idx="0">
                  <c:v>1.99</c:v>
                </c:pt>
                <c:pt idx="1">
                  <c:v>0.02</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0.00833</cdr:x>
      <cdr:y>0.16332</cdr:y>
    </cdr:from>
    <cdr:to>
      <cdr:x>0.25208</cdr:x>
      <cdr:y>0.24928</cdr:y>
    </cdr:to>
    <cdr:sp>
      <cdr:nvSpPr>
        <cdr:cNvPr id="2" name="矩形 1"/>
        <cdr:cNvSpPr/>
      </cdr:nvSpPr>
      <cdr:spPr xmlns:a="http://schemas.openxmlformats.org/drawingml/2006/main">
        <a:xfrm xmlns:a="http://schemas.openxmlformats.org/drawingml/2006/main">
          <a:off x="38100" y="542925"/>
          <a:ext cx="1114425" cy="285749"/>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zh-CN" altLang="en-US" sz="900" b="0"/>
            <a:t>单位（万元）</a:t>
          </a:r>
          <a:endParaRPr lang="zh-CN" altLang="en-US" sz="900" b="0"/>
        </a:p>
      </cdr:txBody>
    </cdr:sp>
  </cdr:relSizeAnchor>
</c:userShapes>
</file>

<file path=word/drawings/drawing2.xml><?xml version="1.0" encoding="utf-8"?>
<c:userShapes xmlns:c="http://schemas.openxmlformats.org/drawingml/2006/chart">
  <cdr:relSizeAnchor xmlns:cdr="http://schemas.openxmlformats.org/drawingml/2006/chartDrawing">
    <cdr:from>
      <cdr:x>0.79028</cdr:x>
      <cdr:y>0.20255</cdr:y>
    </cdr:from>
    <cdr:to>
      <cdr:x>0.99472</cdr:x>
      <cdr:y>0.31019</cdr:y>
    </cdr:to>
    <cdr:sp>
      <cdr:nvSpPr>
        <cdr:cNvPr id="2" name="矩形 1"/>
        <cdr:cNvSpPr/>
      </cdr:nvSpPr>
      <cdr:spPr xmlns:a="http://schemas.openxmlformats.org/drawingml/2006/main">
        <a:xfrm xmlns:a="http://schemas.openxmlformats.org/drawingml/2006/main">
          <a:off x="3613150" y="555625"/>
          <a:ext cx="934721" cy="29527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marL="0" marR="0" indent="0" defTabSz="914400" eaLnBrk="1" fontAlgn="auto" latinLnBrk="0" hangingPunct="1">
            <a:lnSpc>
              <a:spcPct val="100000"/>
            </a:lnSpc>
            <a:spcBef>
              <a:spcPts val="0"/>
            </a:spcBef>
            <a:spcAft>
              <a:spcPts val="0"/>
            </a:spcAft>
            <a:buClrTx/>
            <a:buSzTx/>
            <a:buFontTx/>
            <a:buNone/>
            <a:defRPr/>
          </a:pPr>
          <a:r>
            <a:rPr lang="zh-CN" altLang="en-US" sz="900" b="0"/>
            <a:t>单位（万元</a:t>
          </a:r>
          <a:r>
            <a:rPr lang="zh-CN" altLang="en-US" sz="1100" b="0">
              <a:effectLst/>
              <a:latin typeface="+mn-lt"/>
              <a:ea typeface="+mn-ea"/>
              <a:cs typeface="+mn-cs"/>
            </a:rPr>
            <a:t>）</a:t>
          </a:r>
          <a:endParaRPr lang="zh-CN" altLang="en-US" sz="1100">
            <a:effectLst/>
            <a:latin typeface="+mn-lt"/>
            <a:ea typeface="+mn-ea"/>
            <a:cs typeface="+mn-cs"/>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0.00903</cdr:x>
      <cdr:y>0.16435</cdr:y>
    </cdr:from>
    <cdr:to>
      <cdr:x>0.33301</cdr:x>
      <cdr:y>0.26852</cdr:y>
    </cdr:to>
    <cdr:sp>
      <cdr:nvSpPr>
        <cdr:cNvPr id="2" name="矩形 1"/>
        <cdr:cNvSpPr/>
      </cdr:nvSpPr>
      <cdr:spPr xmlns:a="http://schemas.openxmlformats.org/drawingml/2006/main">
        <a:xfrm xmlns:a="http://schemas.openxmlformats.org/drawingml/2006/main">
          <a:off x="41275" y="450850"/>
          <a:ext cx="1481257" cy="285749"/>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zh-CN" altLang="en-US" sz="900" b="0"/>
            <a:t>单位（万元）</a:t>
          </a:r>
          <a:endParaRPr lang="zh-CN" altLang="en-US" sz="900" b="0"/>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0.21637</cdr:y>
    </cdr:from>
    <cdr:to>
      <cdr:x>0.32398</cdr:x>
      <cdr:y>0.30409</cdr:y>
    </cdr:to>
    <cdr:sp>
      <cdr:nvSpPr>
        <cdr:cNvPr id="2" name="矩形 1"/>
        <cdr:cNvSpPr/>
      </cdr:nvSpPr>
      <cdr:spPr xmlns:a="http://schemas.openxmlformats.org/drawingml/2006/main">
        <a:xfrm xmlns:a="http://schemas.openxmlformats.org/drawingml/2006/main">
          <a:off x="0" y="704851"/>
          <a:ext cx="1481257" cy="285749"/>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zh-CN" altLang="en-US" sz="900" b="0"/>
            <a:t>单位（万元）</a:t>
          </a:r>
          <a:endParaRPr lang="zh-CN" altLang="en-US" sz="900" b="0"/>
        </a:p>
      </cdr:txBody>
    </cdr:sp>
  </cdr:relSizeAnchor>
</c:userShapes>
</file>

<file path=word/drawings/drawing5.xml><?xml version="1.0" encoding="utf-8"?>
<c:userShapes xmlns:c="http://schemas.openxmlformats.org/drawingml/2006/chart">
  <cdr:relSizeAnchor xmlns:cdr="http://schemas.openxmlformats.org/drawingml/2006/chartDrawing">
    <cdr:from>
      <cdr:x>0.76188</cdr:x>
      <cdr:y>0.14075</cdr:y>
    </cdr:from>
    <cdr:to>
      <cdr:x>1</cdr:x>
      <cdr:y>0.24491</cdr:y>
    </cdr:to>
    <cdr:sp>
      <cdr:nvSpPr>
        <cdr:cNvPr id="2" name="矩形 1"/>
        <cdr:cNvSpPr/>
      </cdr:nvSpPr>
      <cdr:spPr xmlns:a="http://schemas.openxmlformats.org/drawingml/2006/main">
        <a:xfrm xmlns:a="http://schemas.openxmlformats.org/drawingml/2006/main">
          <a:off x="3449956" y="452601"/>
          <a:ext cx="1078229" cy="334941"/>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r>
            <a:rPr lang="zh-CN" altLang="en-US" sz="900" b="0"/>
            <a:t>单位</a:t>
          </a:r>
          <a:r>
            <a:rPr lang="en-US" sz="1100" b="0">
              <a:latin typeface="+mn-lt"/>
              <a:ea typeface="+mn-ea"/>
              <a:cs typeface="+mn-cs"/>
            </a:rPr>
            <a:t>:</a:t>
          </a:r>
          <a:r>
            <a:rPr lang="zh-CN" altLang="en-US" sz="900" b="0"/>
            <a:t>（万元）</a:t>
          </a:r>
          <a:endParaRPr lang="zh-CN" altLang="en-US" sz="900" b="0"/>
        </a:p>
      </cdr:txBody>
    </cdr:sp>
  </cdr:relSizeAnchor>
</c:userShapes>
</file>

<file path=word/drawings/drawing6.xml><?xml version="1.0" encoding="utf-8"?>
<c:userShapes xmlns:c="http://schemas.openxmlformats.org/drawingml/2006/chart">
  <cdr:relSizeAnchor xmlns:cdr="http://schemas.openxmlformats.org/drawingml/2006/chartDrawing">
    <cdr:from>
      <cdr:x>0.67085</cdr:x>
      <cdr:y>0.23473</cdr:y>
    </cdr:from>
    <cdr:to>
      <cdr:x>0.91036</cdr:x>
      <cdr:y>0.3578</cdr:y>
    </cdr:to>
    <cdr:sp>
      <cdr:nvSpPr>
        <cdr:cNvPr id="2" name="矩形 1"/>
        <cdr:cNvSpPr/>
      </cdr:nvSpPr>
      <cdr:spPr xmlns:a="http://schemas.openxmlformats.org/drawingml/2006/main">
        <a:xfrm xmlns:a="http://schemas.openxmlformats.org/drawingml/2006/main">
          <a:off x="3663950" y="666115"/>
          <a:ext cx="1308100" cy="349250"/>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r>
            <a:rPr lang="zh-CN" altLang="en-US" sz="1100"/>
            <a:t>单位：万元</a:t>
          </a:r>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1080</Words>
  <Characters>6159</Characters>
  <Lines>51</Lines>
  <Paragraphs>14</Paragraphs>
  <TotalTime>25</TotalTime>
  <ScaleCrop>false</ScaleCrop>
  <LinksUpToDate>false</LinksUpToDate>
  <CharactersWithSpaces>7225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2022-11-13T12:36:00Z</dcterms:created>
  <dc:creator>曹颖</dc:creator>
  <cp:lastModifiedBy>user</cp:lastModifiedBy>
  <cp:lastPrinted>2021-08-17T08:06:00Z</cp:lastPrinted>
  <dcterms:modified xsi:type="dcterms:W3CDTF">2023-09-14T01:59:23Z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0F768A574F5C476897BEF2B4084EB51A</vt:lpwstr>
  </property>
</Properties>
</file>