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96475"/>
      <w:bookmarkStart w:id="2" w:name="_Toc15378441"/>
      <w:bookmarkStart w:id="3" w:name="_Toc15396597"/>
      <w:bookmarkStart w:id="4" w:name="_Toc15377193"/>
      <w:bookmarkStart w:id="5" w:name="_Toc15377425"/>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auto"/>
          <w:sz w:val="72"/>
          <w:szCs w:val="72"/>
        </w:rPr>
      </w:pPr>
      <w:bookmarkStart w:id="6" w:name="_Toc15377194"/>
      <w:bookmarkStart w:id="7" w:name="_Toc15396598"/>
      <w:bookmarkStart w:id="8" w:name="_Toc15377426"/>
      <w:bookmarkStart w:id="9" w:name="_Toc15396476"/>
      <w:bookmarkStart w:id="10" w:name="_Toc15378442"/>
      <w:r>
        <w:rPr>
          <w:rFonts w:hint="eastAsia" w:ascii="方正小标宋简体" w:hAnsi="宋体" w:eastAsia="方正小标宋简体"/>
          <w:color w:val="auto"/>
          <w:sz w:val="72"/>
          <w:szCs w:val="72"/>
        </w:rPr>
        <w:t>四川省</w:t>
      </w:r>
      <w:bookmarkEnd w:id="0"/>
      <w:bookmarkStart w:id="11" w:name="_Toc15306268"/>
      <w:r>
        <w:rPr>
          <w:rFonts w:hint="eastAsia" w:ascii="方正小标宋简体" w:hAnsi="宋体" w:eastAsia="方正小标宋简体"/>
          <w:color w:val="auto"/>
          <w:sz w:val="72"/>
          <w:szCs w:val="72"/>
          <w:lang w:val="en-US" w:eastAsia="zh-CN"/>
        </w:rPr>
        <w:t>成都未成年犯管教所单位</w:t>
      </w:r>
      <w:bookmarkStart w:id="66" w:name="_GoBack"/>
      <w:bookmarkEnd w:id="66"/>
      <w:r>
        <w:rPr>
          <w:rFonts w:hint="eastAsia" w:ascii="方正小标宋简体" w:hAnsi="宋体" w:eastAsia="方正小标宋简体"/>
          <w:color w:val="auto"/>
          <w:sz w:val="72"/>
          <w:szCs w:val="72"/>
        </w:rPr>
        <w:t>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0"/>
        <w:rPr>
          <w:rFonts w:hint="eastAsia" w:eastAsia="仿宋"/>
          <w:color w:val="auto"/>
          <w:lang w:eastAsia="zh-CN"/>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pStyle w:val="10"/>
        <w:adjustRightInd w:val="0"/>
        <w:snapToGrid w:val="0"/>
        <w:spacing w:before="0" w:line="440" w:lineRule="exact"/>
        <w:jc w:val="left"/>
        <w:rPr>
          <w:rFonts w:hint="default" w:eastAsia="仿宋" w:cstheme="minorBidi"/>
          <w:color w:val="auto"/>
          <w:sz w:val="24"/>
          <w:szCs w:val="24"/>
          <w:lang w:val="en-US" w:eastAsia="zh-CN"/>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w:t>
      </w:r>
      <w:r>
        <w:rPr>
          <w:rFonts w:hint="eastAsia"/>
          <w:color w:val="auto"/>
          <w:sz w:val="28"/>
          <w:szCs w:val="28"/>
          <w:lang w:val="en-US" w:eastAsia="zh-CN"/>
        </w:rPr>
        <w:t>4</w:t>
      </w:r>
    </w:p>
    <w:p>
      <w:pPr>
        <w:pStyle w:val="11"/>
        <w:adjustRightInd w:val="0"/>
        <w:snapToGrid w:val="0"/>
        <w:spacing w:line="440" w:lineRule="exact"/>
        <w:jc w:val="left"/>
        <w:rPr>
          <w:rFonts w:hint="eastAsia"/>
          <w:color w:val="auto"/>
          <w:sz w:val="28"/>
          <w:szCs w:val="28"/>
          <w:lang w:val="en-US" w:eastAsia="zh-CN"/>
        </w:rPr>
      </w:pPr>
      <w:r>
        <w:rPr>
          <w:rFonts w:hint="eastAsia"/>
          <w:color w:val="auto"/>
          <w:sz w:val="24"/>
        </w:rPr>
        <w:t>一、职能</w:t>
      </w:r>
      <w:r>
        <w:rPr>
          <w:rFonts w:hint="eastAsia"/>
          <w:color w:val="auto"/>
          <w:sz w:val="24"/>
          <w:lang w:eastAsia="zh-CN"/>
        </w:rPr>
        <w:t>简介</w:t>
      </w:r>
      <w:r>
        <w:rPr>
          <w:rFonts w:hint="eastAsia"/>
          <w:color w:val="auto"/>
          <w:sz w:val="24"/>
          <w:lang w:val="en-US" w:eastAsia="zh-CN"/>
        </w:rPr>
        <w:t>.........................................................................................................</w:t>
      </w:r>
      <w:r>
        <w:rPr>
          <w:rFonts w:hint="eastAsia" w:ascii="仿宋" w:hAnsi="仿宋" w:eastAsia="仿宋" w:cs="Times New Roman"/>
          <w:color w:val="auto"/>
          <w:kern w:val="2"/>
          <w:sz w:val="28"/>
          <w:szCs w:val="28"/>
          <w:lang w:val="en-US" w:eastAsia="zh-CN" w:bidi="ar-SA"/>
        </w:rPr>
        <w:t>4</w:t>
      </w:r>
    </w:p>
    <w:p>
      <w:pPr>
        <w:pStyle w:val="11"/>
        <w:adjustRightInd w:val="0"/>
        <w:snapToGrid w:val="0"/>
        <w:spacing w:line="440" w:lineRule="exact"/>
        <w:jc w:val="left"/>
        <w:rPr>
          <w:rFonts w:hint="eastAsia" w:ascii="仿宋" w:hAnsi="仿宋" w:eastAsia="仿宋" w:cs="仿宋"/>
          <w:color w:val="auto"/>
          <w:sz w:val="28"/>
          <w:szCs w:val="28"/>
          <w:lang w:val="en-US"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r>
        <w:rPr>
          <w:rFonts w:hint="eastAsia" w:asciiTheme="minorEastAsia" w:hAnsiTheme="minorEastAsia" w:eastAsiaTheme="minorEastAsia" w:cstheme="minorEastAsia"/>
          <w:color w:val="auto"/>
          <w:sz w:val="24"/>
          <w:lang w:val="en-US" w:eastAsia="zh-CN"/>
        </w:rPr>
        <w:t>.</w:t>
      </w:r>
      <w:r>
        <w:rPr>
          <w:rFonts w:hint="eastAsia"/>
          <w:color w:val="auto"/>
          <w:sz w:val="24"/>
          <w:lang w:val="en-US" w:eastAsia="zh-CN"/>
        </w:rPr>
        <w:t>..........................................................................</w:t>
      </w:r>
      <w:r>
        <w:rPr>
          <w:rFonts w:hint="eastAsia" w:ascii="仿宋" w:hAnsi="仿宋" w:eastAsia="仿宋" w:cs="仿宋"/>
          <w:color w:val="auto"/>
          <w:sz w:val="28"/>
          <w:szCs w:val="28"/>
          <w:lang w:val="en-US" w:eastAsia="zh-CN"/>
        </w:rPr>
        <w:t>5</w:t>
      </w:r>
    </w:p>
    <w:p>
      <w:pPr>
        <w:pStyle w:val="11"/>
        <w:adjustRightInd w:val="0"/>
        <w:snapToGrid w:val="0"/>
        <w:spacing w:line="440" w:lineRule="exact"/>
        <w:jc w:val="left"/>
        <w:rPr>
          <w:rFonts w:hint="eastAsia"/>
          <w:lang w:val="en-US" w:eastAsia="zh-CN"/>
        </w:rPr>
      </w:pPr>
      <w:r>
        <w:rPr>
          <w:rFonts w:hint="eastAsia" w:asciiTheme="minorEastAsia" w:hAnsiTheme="minorEastAsia" w:eastAsiaTheme="minorEastAsia" w:cstheme="minorEastAsia"/>
          <w:color w:val="auto"/>
          <w:sz w:val="24"/>
          <w:lang w:eastAsia="zh-CN"/>
        </w:rPr>
        <w:t>三、</w:t>
      </w:r>
      <w:r>
        <w:rPr>
          <w:rFonts w:hint="eastAsia" w:asciiTheme="minorEastAsia" w:hAnsiTheme="minorEastAsia" w:eastAsiaTheme="minorEastAsia" w:cstheme="minorEastAsia"/>
          <w:sz w:val="24"/>
        </w:rPr>
        <w:t>机构设置情况</w:t>
      </w:r>
      <w:r>
        <w:rPr>
          <w:rFonts w:hint="eastAsia" w:asciiTheme="minorEastAsia" w:hAnsiTheme="minorEastAsia" w:eastAsiaTheme="minorEastAsia" w:cstheme="minorEastAsia"/>
          <w:color w:val="auto"/>
          <w:sz w:val="24"/>
          <w:lang w:val="en-US" w:eastAsia="zh-CN"/>
        </w:rPr>
        <w:t>.</w:t>
      </w:r>
      <w:r>
        <w:rPr>
          <w:rFonts w:hint="eastAsia"/>
          <w:color w:val="auto"/>
          <w:sz w:val="24"/>
          <w:lang w:val="en-US" w:eastAsia="zh-CN"/>
        </w:rPr>
        <w:t>................................................................................................</w:t>
      </w:r>
      <w:r>
        <w:rPr>
          <w:rFonts w:hint="eastAsia" w:ascii="仿宋" w:hAnsi="仿宋" w:eastAsia="仿宋" w:cs="仿宋"/>
          <w:color w:val="auto"/>
          <w:sz w:val="28"/>
          <w:szCs w:val="28"/>
          <w:lang w:val="en-US" w:eastAsia="zh-CN"/>
        </w:rPr>
        <w:t>6</w:t>
      </w:r>
    </w:p>
    <w:p>
      <w:pPr>
        <w:pStyle w:val="10"/>
        <w:adjustRightInd w:val="0"/>
        <w:snapToGrid w:val="0"/>
        <w:spacing w:before="0" w:line="440" w:lineRule="exact"/>
        <w:jc w:val="left"/>
        <w:rPr>
          <w:rFonts w:hint="default" w:eastAsia="仿宋"/>
          <w:color w:val="auto"/>
          <w:sz w:val="24"/>
          <w:szCs w:val="24"/>
          <w:lang w:val="en-US" w:eastAsia="zh-CN"/>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w:t>
      </w:r>
      <w:r>
        <w:rPr>
          <w:rFonts w:hint="eastAsia" w:cs="仿宋"/>
          <w:color w:val="auto"/>
          <w:kern w:val="2"/>
          <w:sz w:val="28"/>
          <w:szCs w:val="28"/>
          <w:lang w:val="en-US" w:eastAsia="zh-CN" w:bidi="ar-SA"/>
        </w:rPr>
        <w:t>7</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一、收入支出决算总体情况说明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7</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二、收入决算情况说明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7</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三、支出决算情况说明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8</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四、财政拨款收入支出决算总体情况说明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8</w:t>
      </w:r>
      <w:r>
        <w:rPr>
          <w:rFonts w:hint="eastAsia"/>
          <w:color w:val="auto"/>
          <w:sz w:val="24"/>
        </w:rPr>
        <w:t>五、一般公共预算财政拨款支出决算情况说明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9</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六、一般公共预算财政拨款基本支出决算情况说明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12</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七、</w:t>
      </w:r>
      <w:r>
        <w:rPr>
          <w:color w:val="auto"/>
          <w:sz w:val="24"/>
        </w:rPr>
        <w:t>“</w:t>
      </w:r>
      <w:r>
        <w:rPr>
          <w:rFonts w:hint="eastAsia"/>
          <w:color w:val="auto"/>
          <w:sz w:val="24"/>
        </w:rPr>
        <w:t>三公”经费财政拨款支出决算情况说明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13</w:t>
      </w:r>
    </w:p>
    <w:p>
      <w:pPr>
        <w:pStyle w:val="11"/>
        <w:adjustRightInd w:val="0"/>
        <w:snapToGrid w:val="0"/>
        <w:spacing w:line="440" w:lineRule="exact"/>
        <w:jc w:val="left"/>
        <w:rPr>
          <w:rFonts w:hint="default" w:ascii="仿宋" w:hAnsi="仿宋" w:eastAsia="宋体" w:cstheme="minorBidi"/>
          <w:color w:val="auto"/>
          <w:sz w:val="24"/>
          <w:lang w:val="en-US" w:eastAsia="zh-CN"/>
        </w:rPr>
      </w:pPr>
      <w:r>
        <w:rPr>
          <w:rFonts w:hint="eastAsia"/>
          <w:color w:val="auto"/>
          <w:sz w:val="24"/>
        </w:rPr>
        <w:t>八、政府性基金预算支出决算情况说明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15</w:t>
      </w:r>
    </w:p>
    <w:p>
      <w:pPr>
        <w:pStyle w:val="11"/>
        <w:adjustRightInd w:val="0"/>
        <w:snapToGrid w:val="0"/>
        <w:spacing w:line="440" w:lineRule="exact"/>
        <w:jc w:val="left"/>
        <w:rPr>
          <w:rFonts w:hint="default" w:eastAsia="宋体"/>
          <w:color w:val="auto"/>
          <w:sz w:val="24"/>
          <w:lang w:val="en-US" w:eastAsia="zh-CN"/>
        </w:rPr>
      </w:pPr>
      <w:r>
        <w:rPr>
          <w:rFonts w:hint="eastAsia"/>
          <w:color w:val="auto"/>
          <w:sz w:val="24"/>
        </w:rPr>
        <w:t>九、国有资本经营预算支出决算情况说明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15</w:t>
      </w:r>
    </w:p>
    <w:p>
      <w:pPr>
        <w:pStyle w:val="11"/>
        <w:adjustRightInd w:val="0"/>
        <w:snapToGrid w:val="0"/>
        <w:spacing w:line="440" w:lineRule="exact"/>
        <w:jc w:val="left"/>
        <w:rPr>
          <w:rFonts w:hint="default" w:eastAsia="宋体"/>
          <w:color w:val="auto"/>
          <w:sz w:val="24"/>
          <w:lang w:val="en-US" w:eastAsia="zh-CN"/>
        </w:rPr>
      </w:pPr>
      <w:r>
        <w:rPr>
          <w:rFonts w:hint="eastAsia"/>
          <w:color w:val="auto"/>
          <w:sz w:val="24"/>
        </w:rPr>
        <w:t>十、其他重要事项的情况说明</w:t>
      </w:r>
      <w:r>
        <w:rPr>
          <w:rFonts w:hint="eastAsia"/>
          <w:color w:val="auto"/>
          <w:sz w:val="24"/>
          <w:lang w:val="en-US" w:eastAsia="zh-CN"/>
        </w:rPr>
        <w:t>...........................................................................</w:t>
      </w:r>
      <w:r>
        <w:rPr>
          <w:rFonts w:hint="eastAsia" w:ascii="仿宋" w:hAnsi="仿宋" w:eastAsia="仿宋" w:cs="仿宋"/>
          <w:color w:val="auto"/>
          <w:kern w:val="2"/>
          <w:sz w:val="28"/>
          <w:szCs w:val="28"/>
          <w:lang w:val="en-US" w:eastAsia="zh-CN" w:bidi="ar-SA"/>
        </w:rPr>
        <w:t>15</w:t>
      </w:r>
    </w:p>
    <w:p>
      <w:pPr>
        <w:pStyle w:val="10"/>
        <w:adjustRightInd w:val="0"/>
        <w:snapToGrid w:val="0"/>
        <w:spacing w:before="0" w:line="440" w:lineRule="exact"/>
        <w:jc w:val="left"/>
        <w:rPr>
          <w:rFonts w:hint="default" w:eastAsia="仿宋" w:cstheme="minorBidi"/>
          <w:color w:val="auto"/>
          <w:sz w:val="24"/>
          <w:szCs w:val="24"/>
          <w:lang w:val="en-US" w:eastAsia="zh-CN"/>
        </w:rPr>
      </w:pPr>
      <w:r>
        <w:rPr>
          <w:rFonts w:hint="eastAsia"/>
          <w:color w:val="auto"/>
          <w:sz w:val="24"/>
        </w:rPr>
        <w:t>第三部分</w:t>
      </w:r>
      <w:r>
        <w:rPr>
          <w:color w:val="auto"/>
          <w:sz w:val="24"/>
        </w:rPr>
        <w:t xml:space="preserve"> </w:t>
      </w:r>
      <w:r>
        <w:rPr>
          <w:rFonts w:hint="eastAsia"/>
          <w:color w:val="auto"/>
          <w:sz w:val="24"/>
        </w:rPr>
        <w:t>名词解释</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w:t>
      </w:r>
      <w:r>
        <w:rPr>
          <w:rFonts w:hint="eastAsia" w:ascii="仿宋" w:hAnsi="仿宋" w:eastAsia="仿宋" w:cs="仿宋"/>
          <w:color w:val="auto"/>
          <w:kern w:val="2"/>
          <w:sz w:val="28"/>
          <w:szCs w:val="28"/>
          <w:lang w:val="en-US" w:eastAsia="zh-CN" w:bidi="ar-SA"/>
        </w:rPr>
        <w:t>1</w:t>
      </w:r>
      <w:r>
        <w:rPr>
          <w:rFonts w:hint="eastAsia" w:cs="仿宋"/>
          <w:color w:val="auto"/>
          <w:kern w:val="2"/>
          <w:sz w:val="28"/>
          <w:szCs w:val="28"/>
          <w:lang w:val="en-US" w:eastAsia="zh-CN" w:bidi="ar-SA"/>
        </w:rPr>
        <w:t>7</w:t>
      </w:r>
    </w:p>
    <w:p>
      <w:pPr>
        <w:pStyle w:val="10"/>
        <w:adjustRightInd w:val="0"/>
        <w:snapToGrid w:val="0"/>
        <w:spacing w:before="0" w:line="440" w:lineRule="exact"/>
        <w:jc w:val="left"/>
        <w:rPr>
          <w:rFonts w:hint="default" w:eastAsia="仿宋" w:cstheme="minorBidi"/>
          <w:color w:val="auto"/>
          <w:sz w:val="24"/>
          <w:szCs w:val="24"/>
          <w:lang w:val="en-US" w:eastAsia="zh-CN"/>
        </w:rPr>
      </w:pPr>
      <w:r>
        <w:rPr>
          <w:rFonts w:hint="eastAsia"/>
          <w:color w:val="auto"/>
          <w:sz w:val="24"/>
        </w:rPr>
        <w:t>第</w:t>
      </w:r>
      <w:r>
        <w:rPr>
          <w:rFonts w:hint="eastAsia"/>
          <w:color w:val="auto"/>
          <w:sz w:val="24"/>
          <w:lang w:val="en-US" w:eastAsia="zh-CN"/>
        </w:rPr>
        <w:t>四</w:t>
      </w:r>
      <w:r>
        <w:rPr>
          <w:rFonts w:hint="eastAsia"/>
          <w:color w:val="auto"/>
          <w:sz w:val="24"/>
        </w:rPr>
        <w:t>部分</w:t>
      </w:r>
      <w:r>
        <w:rPr>
          <w:color w:val="auto"/>
          <w:sz w:val="24"/>
        </w:rPr>
        <w:t xml:space="preserve"> </w:t>
      </w:r>
      <w:r>
        <w:rPr>
          <w:rFonts w:hint="eastAsia"/>
          <w:color w:val="auto"/>
          <w:sz w:val="24"/>
        </w:rPr>
        <w:t>附表</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w:t>
      </w:r>
      <w:r>
        <w:rPr>
          <w:rFonts w:hint="eastAsia" w:ascii="仿宋" w:hAnsi="仿宋" w:eastAsia="仿宋" w:cs="仿宋"/>
          <w:color w:val="auto"/>
          <w:kern w:val="2"/>
          <w:sz w:val="28"/>
          <w:szCs w:val="28"/>
          <w:lang w:val="en-US" w:eastAsia="zh-CN" w:bidi="ar-SA"/>
        </w:rPr>
        <w:t>2</w:t>
      </w:r>
      <w:r>
        <w:rPr>
          <w:rFonts w:hint="eastAsia" w:cs="仿宋"/>
          <w:color w:val="auto"/>
          <w:kern w:val="2"/>
          <w:sz w:val="28"/>
          <w:szCs w:val="28"/>
          <w:lang w:val="en-US" w:eastAsia="zh-CN" w:bidi="ar-SA"/>
        </w:rPr>
        <w:t>0</w:t>
      </w:r>
    </w:p>
    <w:p>
      <w:pPr>
        <w:pStyle w:val="11"/>
        <w:adjustRightInd w:val="0"/>
        <w:snapToGrid w:val="0"/>
        <w:spacing w:line="440" w:lineRule="exact"/>
        <w:jc w:val="left"/>
        <w:rPr>
          <w:rFonts w:hint="eastAsia"/>
          <w:color w:val="auto"/>
          <w:sz w:val="24"/>
        </w:rPr>
      </w:pPr>
      <w:r>
        <w:rPr>
          <w:rFonts w:hint="eastAsia"/>
          <w:color w:val="auto"/>
          <w:sz w:val="24"/>
        </w:rPr>
        <w:t>一、收入支出决算总表</w:t>
      </w:r>
    </w:p>
    <w:p>
      <w:pPr>
        <w:pStyle w:val="11"/>
        <w:adjustRightInd w:val="0"/>
        <w:snapToGrid w:val="0"/>
        <w:spacing w:line="440" w:lineRule="exact"/>
        <w:jc w:val="left"/>
        <w:rPr>
          <w:rFonts w:hint="eastAsia"/>
          <w:color w:val="auto"/>
          <w:sz w:val="24"/>
        </w:rPr>
      </w:pPr>
      <w:r>
        <w:rPr>
          <w:rFonts w:hint="eastAsia"/>
          <w:color w:val="auto"/>
          <w:sz w:val="24"/>
        </w:rPr>
        <w:t>二、收入决算表</w:t>
      </w:r>
    </w:p>
    <w:p>
      <w:pPr>
        <w:pStyle w:val="11"/>
        <w:adjustRightInd w:val="0"/>
        <w:snapToGrid w:val="0"/>
        <w:spacing w:line="440" w:lineRule="exact"/>
        <w:jc w:val="left"/>
        <w:rPr>
          <w:rFonts w:hint="eastAsia"/>
          <w:color w:val="auto"/>
          <w:sz w:val="24"/>
        </w:rPr>
      </w:pPr>
      <w:r>
        <w:rPr>
          <w:rFonts w:hint="eastAsia"/>
          <w:color w:val="auto"/>
          <w:sz w:val="24"/>
        </w:rPr>
        <w:t>三、支出决算表</w:t>
      </w:r>
    </w:p>
    <w:p>
      <w:pPr>
        <w:pStyle w:val="11"/>
        <w:adjustRightInd w:val="0"/>
        <w:snapToGrid w:val="0"/>
        <w:spacing w:line="440" w:lineRule="exact"/>
        <w:jc w:val="left"/>
        <w:rPr>
          <w:rFonts w:hint="eastAsia"/>
          <w:color w:val="auto"/>
          <w:sz w:val="24"/>
        </w:rPr>
      </w:pPr>
      <w:r>
        <w:rPr>
          <w:rFonts w:hint="eastAsia"/>
          <w:color w:val="auto"/>
          <w:sz w:val="24"/>
        </w:rPr>
        <w:t>四、财政拨款收入支出决算总表</w:t>
      </w:r>
    </w:p>
    <w:p>
      <w:pPr>
        <w:pStyle w:val="11"/>
        <w:adjustRightInd w:val="0"/>
        <w:snapToGrid w:val="0"/>
        <w:spacing w:line="440" w:lineRule="exact"/>
        <w:jc w:val="left"/>
        <w:rPr>
          <w:rFonts w:hint="eastAsia"/>
          <w:color w:val="auto"/>
          <w:sz w:val="24"/>
        </w:rPr>
      </w:pPr>
      <w:r>
        <w:rPr>
          <w:rFonts w:hint="eastAsia"/>
          <w:color w:val="auto"/>
          <w:sz w:val="24"/>
        </w:rPr>
        <w:t>五、财政拨款支出决算明细表</w:t>
      </w:r>
    </w:p>
    <w:p>
      <w:pPr>
        <w:pStyle w:val="11"/>
        <w:adjustRightInd w:val="0"/>
        <w:snapToGrid w:val="0"/>
        <w:spacing w:line="440" w:lineRule="exact"/>
        <w:jc w:val="left"/>
        <w:rPr>
          <w:rFonts w:hint="eastAsia"/>
          <w:color w:val="auto"/>
          <w:sz w:val="24"/>
        </w:rPr>
      </w:pPr>
      <w:r>
        <w:rPr>
          <w:rFonts w:hint="eastAsia"/>
          <w:color w:val="auto"/>
          <w:sz w:val="24"/>
        </w:rPr>
        <w:t>六、一般公共预算财政拨款支出决算表</w:t>
      </w:r>
    </w:p>
    <w:p>
      <w:pPr>
        <w:pStyle w:val="11"/>
        <w:adjustRightInd w:val="0"/>
        <w:snapToGrid w:val="0"/>
        <w:spacing w:line="440" w:lineRule="exact"/>
        <w:jc w:val="left"/>
        <w:rPr>
          <w:rFonts w:hint="eastAsia"/>
          <w:color w:val="auto"/>
          <w:sz w:val="24"/>
        </w:rPr>
      </w:pPr>
      <w:r>
        <w:rPr>
          <w:rFonts w:hint="eastAsia"/>
          <w:color w:val="auto"/>
          <w:sz w:val="24"/>
        </w:rPr>
        <w:t>七、一般公共预算财政拨款支出决算明细表</w:t>
      </w:r>
    </w:p>
    <w:p>
      <w:pPr>
        <w:pStyle w:val="11"/>
        <w:adjustRightInd w:val="0"/>
        <w:snapToGrid w:val="0"/>
        <w:spacing w:line="440" w:lineRule="exact"/>
        <w:jc w:val="left"/>
        <w:rPr>
          <w:rFonts w:hint="eastAsia"/>
          <w:color w:val="auto"/>
          <w:sz w:val="24"/>
        </w:rPr>
      </w:pPr>
      <w:r>
        <w:rPr>
          <w:rFonts w:hint="eastAsia"/>
          <w:color w:val="auto"/>
          <w:sz w:val="24"/>
        </w:rPr>
        <w:t>八、一般公共预算财政拨款基本支出决算表</w:t>
      </w:r>
    </w:p>
    <w:p>
      <w:pPr>
        <w:pStyle w:val="11"/>
        <w:adjustRightInd w:val="0"/>
        <w:snapToGrid w:val="0"/>
        <w:spacing w:line="440" w:lineRule="exact"/>
        <w:jc w:val="left"/>
        <w:rPr>
          <w:rFonts w:hint="eastAsia"/>
          <w:color w:val="auto"/>
          <w:sz w:val="24"/>
        </w:rPr>
      </w:pPr>
      <w:r>
        <w:rPr>
          <w:rFonts w:hint="eastAsia"/>
          <w:color w:val="auto"/>
          <w:sz w:val="24"/>
        </w:rPr>
        <w:t>九、一般公共预算财政拨款项目支出决算表</w:t>
      </w:r>
    </w:p>
    <w:p>
      <w:pPr>
        <w:pStyle w:val="11"/>
        <w:adjustRightInd w:val="0"/>
        <w:snapToGrid w:val="0"/>
        <w:spacing w:line="440" w:lineRule="exact"/>
        <w:jc w:val="left"/>
        <w:rPr>
          <w:rFonts w:hint="eastAsia"/>
          <w:color w:val="auto"/>
          <w:sz w:val="24"/>
        </w:rPr>
      </w:pPr>
      <w:r>
        <w:rPr>
          <w:rFonts w:hint="eastAsia"/>
          <w:color w:val="auto"/>
          <w:sz w:val="24"/>
        </w:rPr>
        <w:t>十、一般公共预算财政拨款“三公”经费支出决算表</w:t>
      </w:r>
    </w:p>
    <w:p>
      <w:pPr>
        <w:pStyle w:val="11"/>
        <w:adjustRightInd w:val="0"/>
        <w:snapToGrid w:val="0"/>
        <w:spacing w:line="440" w:lineRule="exact"/>
        <w:jc w:val="left"/>
        <w:rPr>
          <w:rFonts w:hint="eastAsia"/>
          <w:color w:val="auto"/>
          <w:sz w:val="24"/>
        </w:rPr>
      </w:pPr>
      <w:r>
        <w:rPr>
          <w:rFonts w:hint="eastAsia"/>
          <w:color w:val="auto"/>
          <w:sz w:val="24"/>
        </w:rPr>
        <w:t>十一、政府性基金预算财政拨款收入支出决算表</w:t>
      </w:r>
    </w:p>
    <w:p>
      <w:pPr>
        <w:pStyle w:val="11"/>
        <w:adjustRightInd w:val="0"/>
        <w:snapToGrid w:val="0"/>
        <w:spacing w:line="440" w:lineRule="exact"/>
        <w:jc w:val="left"/>
        <w:rPr>
          <w:rFonts w:hint="eastAsia"/>
          <w:color w:val="auto"/>
          <w:sz w:val="24"/>
        </w:rPr>
      </w:pPr>
      <w:r>
        <w:rPr>
          <w:rFonts w:hint="eastAsia"/>
          <w:color w:val="auto"/>
          <w:sz w:val="24"/>
        </w:rPr>
        <w:t>十二、政府性基金预算财政拨款“三公”经费支出决算表</w:t>
      </w:r>
    </w:p>
    <w:p>
      <w:pPr>
        <w:pStyle w:val="11"/>
        <w:adjustRightInd w:val="0"/>
        <w:snapToGrid w:val="0"/>
        <w:spacing w:line="440" w:lineRule="exact"/>
        <w:jc w:val="left"/>
        <w:rPr>
          <w:rFonts w:hint="eastAsia"/>
          <w:color w:val="auto"/>
          <w:sz w:val="24"/>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p>
    <w:p>
      <w:pPr>
        <w:pStyle w:val="11"/>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p>
    <w:p>
      <w:pPr>
        <w:widowControl/>
        <w:spacing w:line="440" w:lineRule="exact"/>
        <w:jc w:val="left"/>
        <w:rPr>
          <w:rFonts w:ascii="仿宋" w:hAnsi="仿宋" w:eastAsia="仿宋"/>
          <w:bCs/>
          <w:color w:val="auto"/>
          <w:kern w:val="44"/>
          <w:sz w:val="24"/>
        </w:rPr>
      </w:pPr>
      <w:bookmarkStart w:id="12" w:name="_Toc15377196"/>
      <w:bookmarkStart w:id="13" w:name="_Toc15396599"/>
      <w:r>
        <w:rPr>
          <w:rFonts w:ascii="仿宋" w:hAnsi="仿宋" w:eastAsia="仿宋"/>
          <w:b/>
          <w:color w:val="auto"/>
          <w:sz w:val="24"/>
        </w:rPr>
        <w:br w:type="page"/>
      </w:r>
    </w:p>
    <w:p>
      <w:pPr>
        <w:pStyle w:val="3"/>
        <w:jc w:val="center"/>
        <w:rPr>
          <w:rFonts w:ascii="黑体" w:eastAsia="黑体"/>
          <w:color w:val="auto"/>
          <w:sz w:val="32"/>
          <w:szCs w:val="32"/>
        </w:rPr>
      </w:pPr>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5"/>
          <w:rFonts w:hint="eastAsia" w:ascii="黑体" w:hAnsi="黑体" w:eastAsia="黑体"/>
          <w:b w:val="0"/>
          <w:bCs w:val="0"/>
          <w:color w:val="auto"/>
        </w:rPr>
        <w:t>概况</w:t>
      </w:r>
      <w:bookmarkEnd w:id="12"/>
      <w:bookmarkEnd w:id="13"/>
    </w:p>
    <w:p>
      <w:pPr>
        <w:pStyle w:val="4"/>
        <w:pageBreakBefore w:val="0"/>
        <w:numPr>
          <w:ilvl w:val="0"/>
          <w:numId w:val="0"/>
        </w:numPr>
        <w:kinsoku/>
        <w:overflowPunct/>
        <w:topLinePunct w:val="0"/>
        <w:autoSpaceDE/>
        <w:autoSpaceDN/>
        <w:bidi w:val="0"/>
        <w:adjustRightInd/>
        <w:snapToGrid/>
        <w:spacing w:line="240" w:lineRule="auto"/>
        <w:ind w:firstLine="640" w:firstLineChars="200"/>
        <w:rPr>
          <w:rFonts w:hint="eastAsia"/>
          <w:color w:val="auto"/>
        </w:rPr>
      </w:pPr>
      <w:bookmarkStart w:id="14" w:name="_Toc15396600"/>
      <w:bookmarkStart w:id="15" w:name="_Toc15377197"/>
      <w:r>
        <w:rPr>
          <w:rStyle w:val="26"/>
          <w:rFonts w:hint="eastAsia" w:ascii="黑体" w:hAnsi="黑体" w:eastAsia="黑体"/>
          <w:b w:val="0"/>
          <w:bCs w:val="0"/>
          <w:color w:val="auto"/>
          <w:lang w:val="en-US" w:eastAsia="zh-CN"/>
        </w:rPr>
        <w:t>一、</w:t>
      </w:r>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p>
    <w:p>
      <w:pPr>
        <w:pStyle w:val="1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76" w:beforeAutospacing="0" w:after="76" w:afterAutospacing="0" w:line="240" w:lineRule="auto"/>
        <w:ind w:right="0" w:firstLine="640" w:firstLineChars="200"/>
        <w:textAlignment w:val="baseline"/>
        <w:rPr>
          <w:rFonts w:hint="eastAsia" w:ascii="宋体" w:hAnsi="宋体" w:eastAsia="仿宋_GB2312"/>
          <w:color w:val="auto"/>
          <w:kern w:val="2"/>
          <w:sz w:val="32"/>
          <w:szCs w:val="32"/>
          <w:lang w:val="en-US" w:eastAsia="zh-CN" w:bidi="ar-SA"/>
        </w:rPr>
      </w:pPr>
      <w:r>
        <w:rPr>
          <w:rFonts w:hint="eastAsia" w:ascii="宋体" w:hAnsi="宋体" w:eastAsia="仿宋_GB2312"/>
          <w:color w:val="auto"/>
          <w:kern w:val="2"/>
          <w:sz w:val="32"/>
          <w:szCs w:val="32"/>
          <w:lang w:val="en-US" w:eastAsia="zh-CN" w:bidi="ar-SA"/>
        </w:rPr>
        <w:t>四川省成都未成年犯管教所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成都未管所早日建成法德兼治的新型现代文明监狱，为建设美丽繁荣和谐四川，推动治蜀兴川再上新台阶作出新的更大的贡献。</w:t>
      </w:r>
    </w:p>
    <w:p>
      <w:pPr>
        <w:pStyle w:val="4"/>
        <w:ind w:firstLine="640" w:firstLineChars="200"/>
        <w:rPr>
          <w:rFonts w:hint="eastAsia" w:ascii="黑体" w:hAnsi="黑体" w:eastAsia="黑体"/>
          <w:b w:val="0"/>
          <w:lang w:eastAsia="zh-CN"/>
        </w:rPr>
      </w:pPr>
      <w:r>
        <w:rPr>
          <w:rFonts w:hint="eastAsia" w:ascii="黑体" w:hAnsi="黑体" w:eastAsia="黑体"/>
          <w:b w:val="0"/>
          <w:lang w:val="en-US" w:eastAsia="zh-CN"/>
        </w:rPr>
        <w:t>二、2020年重点</w:t>
      </w:r>
      <w:r>
        <w:rPr>
          <w:rFonts w:hint="eastAsia" w:ascii="黑体" w:hAnsi="黑体" w:eastAsia="黑体"/>
          <w:b w:val="0"/>
        </w:rPr>
        <w:t>工作</w:t>
      </w:r>
      <w:r>
        <w:rPr>
          <w:rFonts w:hint="eastAsia" w:ascii="黑体" w:hAnsi="黑体" w:eastAsia="黑体"/>
          <w:b w:val="0"/>
          <w:lang w:eastAsia="zh-CN"/>
        </w:rPr>
        <w:t>完成情况</w:t>
      </w:r>
    </w:p>
    <w:p>
      <w:pPr>
        <w:pStyle w:val="1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76" w:beforeAutospacing="0" w:after="76" w:afterAutospacing="0" w:line="240" w:lineRule="auto"/>
        <w:ind w:right="0" w:firstLine="640" w:firstLineChars="200"/>
        <w:textAlignment w:val="baseline"/>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2020年是我国全面建成小康社会和“十三五”规划的收官之年，是全省监狱系统“五年三步走”进入“三年跨越深化”阶段的开局之年，也是我所应对挑战，负重前行，实干奋进的收获之年。自去年以来，面对新冠肺炎疫情带来的巨大冲击，我所在厅、局党委的坚强领导下，紧紧围绕“鼓干劲、守底线、速建设、强规范、创特色、争一流”的目标要求，凝神聚力，尽责担当，攻坚克难，实现了我所各项工作的新发展。</w:t>
      </w:r>
      <w:bookmarkEnd w:id="14"/>
      <w:bookmarkEnd w:id="15"/>
    </w:p>
    <w:p>
      <w:pPr>
        <w:pStyle w:val="1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76" w:beforeAutospacing="0" w:after="76" w:afterAutospacing="0" w:line="240" w:lineRule="auto"/>
        <w:ind w:right="0" w:firstLine="640" w:firstLineChars="200"/>
        <w:textAlignment w:val="baseline"/>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一年来，我们齐心协力，经受住了疫情冲击、监管压力、民警两地办公、未成年犯异地寄押等诸多困难和考验，确保了我所的持续安全稳定。面对疫情我所严格落实省局疫情防控“1+14”各项规定措施,在此基础上细化出台一系列实施方案和规范，并结合我所工作和属地疫情防控实际，调整并完善封闭执勤模式，最大程度保证监管场所封闭执勤力量，主动与地方建立了疫情联防联控机制，将我所纳入地方防控体系中，打赢了疫情防控阻击战，取得了疫情“零感染”“零入监”的重大防控成果。</w:t>
      </w:r>
    </w:p>
    <w:p>
      <w:pPr>
        <w:pStyle w:val="1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76" w:beforeAutospacing="0" w:after="76" w:afterAutospacing="0" w:line="240" w:lineRule="auto"/>
        <w:ind w:right="0" w:firstLine="640" w:firstLineChars="200"/>
        <w:textAlignment w:val="baseline"/>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严格进行执法监督，对寄押点开展全方位、全时段、全天候的督察，找准问题，督促整改，有效促进全所监管基础制度的执行和落实，成功实现年度“罪犯脱逃为零、狱内重特大案件为零、群体性哄监闹事为零、罪犯非正常死亡为零、罪犯自杀自伤事件为零、罪犯重大违规为零”的“六零”目标。</w:t>
      </w:r>
    </w:p>
    <w:p>
      <w:pPr>
        <w:pStyle w:val="1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76" w:beforeAutospacing="0" w:after="76" w:afterAutospacing="0" w:line="240" w:lineRule="auto"/>
        <w:ind w:right="0" w:firstLine="640" w:firstLineChars="200"/>
        <w:textAlignment w:val="baseline"/>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以推进标准化为抓手，以省局“尖兵2020大比武”和“信息化大比武”为契机，建立完善狱政管理、民警执法等46个制度的数据库，对20多项狱政管理制度进行梳理和修订，为回迁后狱政管理规范化健全了制度保障。</w:t>
      </w:r>
    </w:p>
    <w:p>
      <w:pPr>
        <w:pStyle w:val="1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76" w:beforeAutospacing="0" w:after="76" w:afterAutospacing="0" w:line="240" w:lineRule="auto"/>
        <w:ind w:right="0" w:firstLine="640" w:firstLineChars="200"/>
        <w:textAlignment w:val="baseline"/>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结合去年全国范围内开展的“厉行节约,反对浪费”主题系列教育活动，不断完善内控制度，实行新的预算管理制度，提高预算资金的执行效率，预算资金的使用更加精细化、规范化。进一步加强固定资产管理，对各部门资产设备进行全面清理，建立工作台账和数据库。开展“光盘行动”，杜绝舌尖上的浪费。通过一系列措施，保障了全所各类必要性支出，夯实了后勤保障资金基础。</w:t>
      </w:r>
    </w:p>
    <w:p>
      <w:pPr>
        <w:pStyle w:val="5"/>
        <w:pageBreakBefore w:val="0"/>
        <w:widowControl/>
        <w:shd w:val="clear" w:color="auto" w:fill="FFFFFF"/>
        <w:kinsoku/>
        <w:wordWrap w:val="0"/>
        <w:overflowPunct/>
        <w:topLinePunct w:val="0"/>
        <w:autoSpaceDE/>
        <w:autoSpaceDN/>
        <w:bidi w:val="0"/>
        <w:adjustRightInd/>
        <w:snapToGrid/>
        <w:spacing w:before="0" w:beforeAutospacing="0" w:after="75" w:afterAutospacing="0" w:line="240" w:lineRule="auto"/>
        <w:ind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同时我所以建设“精品工程”为目标，强力推进原址改扩建工程，改扩建工作实现了质的飞跃。信息化建设、监控安防系统建设、狱政设施建设等一次性专项也与基本建设配套同步推进，为建成智慧未管所，实现“跨越发展”，打下了坚实基础。</w:t>
      </w:r>
    </w:p>
    <w:p>
      <w:pPr>
        <w:pStyle w:val="4"/>
        <w:pageBreakBefore w:val="0"/>
        <w:kinsoku/>
        <w:overflowPunct/>
        <w:topLinePunct w:val="0"/>
        <w:autoSpaceDE/>
        <w:autoSpaceDN/>
        <w:bidi w:val="0"/>
        <w:adjustRightInd/>
        <w:snapToGrid/>
        <w:spacing w:line="240" w:lineRule="auto"/>
        <w:ind w:firstLine="640" w:firstLineChars="200"/>
        <w:rPr>
          <w:rFonts w:ascii="黑体" w:hAnsi="黑体" w:eastAsia="黑体"/>
          <w:b w:val="0"/>
        </w:rPr>
      </w:pPr>
      <w:r>
        <w:rPr>
          <w:rFonts w:hint="eastAsia" w:ascii="黑体" w:hAnsi="黑体" w:eastAsia="黑体"/>
          <w:b w:val="0"/>
        </w:rPr>
        <w:t>三、机构设置情况</w:t>
      </w:r>
    </w:p>
    <w:p>
      <w:pPr>
        <w:pageBreakBefore w:val="0"/>
        <w:kinsoku/>
        <w:overflowPunct/>
        <w:topLinePunct w:val="0"/>
        <w:autoSpaceDE/>
        <w:autoSpaceDN/>
        <w:bidi w:val="0"/>
        <w:adjustRightInd/>
        <w:snapToGrid/>
        <w:spacing w:line="240" w:lineRule="auto"/>
        <w:ind w:firstLine="640" w:firstLineChars="200"/>
      </w:pPr>
      <w:r>
        <w:rPr>
          <w:rFonts w:hint="eastAsia" w:ascii="宋体" w:hAnsi="宋体" w:eastAsia="仿宋_GB2312"/>
          <w:sz w:val="32"/>
          <w:szCs w:val="32"/>
        </w:rPr>
        <w:t>四川省成都未成年犯管教所由</w:t>
      </w:r>
      <w:r>
        <w:rPr>
          <w:rFonts w:hint="eastAsia" w:ascii="宋体" w:hAnsi="宋体" w:eastAsia="仿宋_GB2312"/>
          <w:sz w:val="32"/>
          <w:szCs w:val="32"/>
          <w:lang w:val="en-US" w:eastAsia="zh-CN"/>
        </w:rPr>
        <w:t>15</w:t>
      </w:r>
      <w:r>
        <w:rPr>
          <w:rFonts w:hint="eastAsia" w:ascii="宋体" w:hAnsi="宋体" w:eastAsia="仿宋_GB2312"/>
          <w:sz w:val="32"/>
          <w:szCs w:val="32"/>
        </w:rPr>
        <w:t>个内设机构组成，分别是：办公室、生产经营科、生活卫生科、警务督察科、离退休人员管理科、</w:t>
      </w:r>
      <w:r>
        <w:rPr>
          <w:rFonts w:hint="eastAsia" w:ascii="宋体" w:hAnsi="宋体" w:eastAsia="仿宋_GB2312"/>
          <w:sz w:val="32"/>
          <w:szCs w:val="32"/>
          <w:lang w:val="en-US" w:eastAsia="zh-CN"/>
        </w:rPr>
        <w:t>勤务大队、</w:t>
      </w:r>
      <w:r>
        <w:rPr>
          <w:rFonts w:hint="eastAsia" w:ascii="宋体" w:hAnsi="宋体" w:eastAsia="仿宋_GB2312"/>
          <w:sz w:val="32"/>
          <w:szCs w:val="32"/>
        </w:rPr>
        <w:t>财务与工资福利科、审计科、环境保护与劳动安全科、狱政管理科、狱内侦查科、工会办、刑罚执行科、教育改造科、政治处。</w:t>
      </w:r>
    </w:p>
    <w:p>
      <w:pPr>
        <w:pageBreakBefore w:val="0"/>
        <w:widowControl/>
        <w:kinsoku/>
        <w:overflowPunct/>
        <w:topLinePunct w:val="0"/>
        <w:autoSpaceDE/>
        <w:autoSpaceDN/>
        <w:bidi w:val="0"/>
        <w:adjustRightInd/>
        <w:snapToGrid/>
        <w:spacing w:line="240" w:lineRule="auto"/>
        <w:ind w:firstLine="640" w:firstLineChars="200"/>
        <w:jc w:val="left"/>
        <w:rPr>
          <w:rFonts w:ascii="仿宋" w:hAnsi="仿宋" w:eastAsia="仿宋"/>
          <w:color w:val="auto"/>
          <w:kern w:val="0"/>
          <w:sz w:val="32"/>
          <w:szCs w:val="32"/>
        </w:rPr>
      </w:pPr>
      <w:r>
        <w:rPr>
          <w:rFonts w:hint="eastAsia" w:ascii="宋体" w:hAnsi="宋体" w:eastAsia="仿宋_GB2312"/>
          <w:sz w:val="32"/>
          <w:szCs w:val="32"/>
        </w:rPr>
        <w:br w:type="page"/>
      </w:r>
    </w:p>
    <w:p>
      <w:pPr>
        <w:pStyle w:val="3"/>
        <w:ind w:right="440"/>
        <w:jc w:val="center"/>
        <w:rPr>
          <w:rStyle w:val="25"/>
          <w:rFonts w:ascii="黑体" w:hAnsi="黑体" w:eastAsia="黑体"/>
          <w:b w:val="0"/>
          <w:bCs/>
          <w:color w:val="auto"/>
        </w:rPr>
      </w:pPr>
      <w:bookmarkStart w:id="16" w:name="_Toc15377204"/>
      <w:bookmarkStart w:id="17" w:name="_Toc15396602"/>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rPr>
        <w:t>部门决算情况说明</w:t>
      </w:r>
      <w:bookmarkEnd w:id="16"/>
      <w:bookmarkEnd w:id="17"/>
    </w:p>
    <w:p>
      <w:pPr>
        <w:rPr>
          <w:color w:val="auto"/>
        </w:rPr>
      </w:pPr>
    </w:p>
    <w:p>
      <w:pPr>
        <w:pStyle w:val="24"/>
        <w:numPr>
          <w:ilvl w:val="0"/>
          <w:numId w:val="0"/>
        </w:numPr>
        <w:spacing w:line="600" w:lineRule="exact"/>
        <w:ind w:left="640" w:leftChars="0"/>
        <w:outlineLvl w:val="1"/>
        <w:rPr>
          <w:rStyle w:val="26"/>
          <w:rFonts w:ascii="黑体" w:hAnsi="黑体" w:eastAsia="黑体"/>
          <w:b w:val="0"/>
          <w:color w:val="auto"/>
        </w:rPr>
      </w:pPr>
      <w:bookmarkStart w:id="18" w:name="_Toc15377205"/>
      <w:bookmarkStart w:id="19" w:name="_Toc15396603"/>
      <w:r>
        <w:rPr>
          <w:rFonts w:hint="eastAsia" w:ascii="黑体" w:hAnsi="黑体" w:eastAsia="黑体"/>
          <w:color w:val="auto"/>
          <w:sz w:val="32"/>
          <w:szCs w:val="32"/>
          <w:lang w:val="en-US" w:eastAsia="zh-CN"/>
        </w:rPr>
        <w:t>一、</w:t>
      </w:r>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18"/>
      <w:bookmarkEnd w:id="19"/>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w:t>
      </w:r>
      <w:r>
        <w:rPr>
          <w:rFonts w:hint="eastAsia" w:ascii="仿宋" w:hAnsi="仿宋" w:eastAsia="仿宋"/>
          <w:b w:val="0"/>
          <w:bCs w:val="0"/>
          <w:color w:val="auto"/>
          <w:sz w:val="32"/>
          <w:szCs w:val="32"/>
        </w:rPr>
        <w:t>总</w:t>
      </w:r>
      <w:r>
        <w:rPr>
          <w:rFonts w:hint="eastAsia" w:ascii="仿宋" w:hAnsi="仿宋" w:eastAsia="仿宋"/>
          <w:color w:val="auto"/>
          <w:sz w:val="32"/>
          <w:szCs w:val="32"/>
        </w:rPr>
        <w:t>计13859.2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w:t>
      </w:r>
      <w:r>
        <w:rPr>
          <w:rFonts w:hint="eastAsia" w:ascii="仿宋" w:hAnsi="仿宋" w:eastAsia="仿宋"/>
          <w:b w:val="0"/>
          <w:bCs w:val="0"/>
          <w:color w:val="auto"/>
          <w:sz w:val="32"/>
          <w:szCs w:val="32"/>
          <w:highlight w:val="none"/>
        </w:rPr>
        <w:t>元</w:t>
      </w:r>
      <w:r>
        <w:rPr>
          <w:rFonts w:hint="eastAsia" w:ascii="仿宋_GB2312" w:hAnsi="仿宋_GB2312" w:eastAsia="仿宋_GB2312" w:cs="仿宋_GB2312"/>
          <w:b w:val="0"/>
          <w:bCs w:val="0"/>
          <w:color w:val="auto"/>
          <w:sz w:val="32"/>
          <w:szCs w:val="32"/>
          <w:highlight w:val="none"/>
          <w:lang w:val="en-US" w:eastAsia="zh-CN"/>
        </w:rPr>
        <w:t>（总收入含年初结转结余，总支出含年末结转结余）。</w:t>
      </w:r>
      <w:r>
        <w:rPr>
          <w:rFonts w:hint="eastAsia" w:ascii="仿宋" w:hAnsi="仿宋" w:eastAsia="仿宋"/>
          <w:color w:val="auto"/>
          <w:sz w:val="32"/>
          <w:szCs w:val="32"/>
        </w:rPr>
        <w:t>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年相比，收、支总计各增加</w:t>
      </w:r>
      <w:r>
        <w:rPr>
          <w:rFonts w:hint="eastAsia" w:ascii="仿宋" w:hAnsi="仿宋" w:eastAsia="仿宋"/>
          <w:color w:val="auto"/>
          <w:sz w:val="32"/>
          <w:szCs w:val="32"/>
          <w:lang w:val="en-US" w:eastAsia="zh-CN"/>
        </w:rPr>
        <w:t>1639.53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13.42</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我所原址改扩建进行中，相关配套的一次性专项工程增加。</w:t>
      </w:r>
    </w:p>
    <w:p>
      <w:pPr>
        <w:pStyle w:val="2"/>
        <w:rPr>
          <w:rFonts w:hint="default"/>
          <w:lang w:val="en-US" w:eastAsia="zh-CN"/>
        </w:rPr>
      </w:pPr>
      <w:r>
        <w:drawing>
          <wp:inline distT="0" distB="0" distL="114300" distR="114300">
            <wp:extent cx="4848225" cy="2743200"/>
            <wp:effectExtent l="4445" t="4445" r="508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auto"/>
          <w:sz w:val="32"/>
          <w:szCs w:val="32"/>
        </w:rPr>
      </w:pPr>
    </w:p>
    <w:p>
      <w:pPr>
        <w:pStyle w:val="24"/>
        <w:numPr>
          <w:ilvl w:val="0"/>
          <w:numId w:val="0"/>
        </w:numPr>
        <w:spacing w:line="600" w:lineRule="exact"/>
        <w:ind w:left="640" w:leftChars="0"/>
        <w:outlineLvl w:val="1"/>
        <w:rPr>
          <w:rStyle w:val="26"/>
          <w:rFonts w:ascii="黑体" w:hAnsi="黑体" w:eastAsia="黑体"/>
          <w:b w:val="0"/>
          <w:color w:val="auto"/>
        </w:rPr>
      </w:pPr>
      <w:bookmarkStart w:id="20" w:name="_Toc15396604"/>
      <w:bookmarkStart w:id="21" w:name="_Toc15377206"/>
      <w:r>
        <w:rPr>
          <w:rFonts w:hint="eastAsia" w:ascii="黑体" w:hAnsi="黑体" w:eastAsia="黑体"/>
          <w:color w:val="auto"/>
          <w:sz w:val="32"/>
          <w:szCs w:val="32"/>
          <w:lang w:val="en-US" w:eastAsia="zh-CN"/>
        </w:rPr>
        <w:t>二、</w:t>
      </w:r>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w:t>
      </w:r>
      <w:r>
        <w:rPr>
          <w:rFonts w:hint="eastAsia" w:ascii="仿宋" w:hAnsi="仿宋" w:eastAsia="仿宋"/>
          <w:b w:val="0"/>
          <w:bCs w:val="0"/>
          <w:color w:val="auto"/>
          <w:sz w:val="32"/>
          <w:szCs w:val="32"/>
        </w:rPr>
        <w:t>本年</w:t>
      </w:r>
      <w:r>
        <w:rPr>
          <w:rFonts w:hint="eastAsia" w:ascii="仿宋" w:hAnsi="仿宋" w:eastAsia="仿宋"/>
          <w:color w:val="auto"/>
          <w:sz w:val="32"/>
          <w:szCs w:val="32"/>
        </w:rPr>
        <w:t>收入合计</w:t>
      </w:r>
      <w:r>
        <w:rPr>
          <w:rFonts w:hint="eastAsia" w:ascii="仿宋" w:hAnsi="仿宋" w:eastAsia="仿宋"/>
          <w:color w:val="auto"/>
          <w:sz w:val="32"/>
          <w:szCs w:val="32"/>
          <w:lang w:val="en-US" w:eastAsia="zh-CN"/>
        </w:rPr>
        <w:t>13549.30</w:t>
      </w:r>
      <w:r>
        <w:rPr>
          <w:rFonts w:hint="eastAsia" w:ascii="仿宋" w:hAnsi="仿宋" w:eastAsia="仿宋"/>
          <w:color w:val="auto"/>
          <w:sz w:val="32"/>
          <w:szCs w:val="32"/>
        </w:rPr>
        <w:t>万</w:t>
      </w:r>
      <w:r>
        <w:rPr>
          <w:rFonts w:hint="eastAsia" w:ascii="仿宋" w:hAnsi="仿宋" w:eastAsia="仿宋"/>
          <w:b w:val="0"/>
          <w:bCs w:val="0"/>
          <w:color w:val="auto"/>
          <w:sz w:val="32"/>
          <w:szCs w:val="32"/>
          <w:highlight w:val="none"/>
        </w:rPr>
        <w:t>元</w:t>
      </w:r>
      <w:r>
        <w:rPr>
          <w:rFonts w:hint="eastAsia" w:ascii="仿宋_GB2312" w:hAnsi="仿宋_GB2312" w:eastAsia="仿宋_GB2312" w:cs="仿宋_GB2312"/>
          <w:b w:val="0"/>
          <w:bCs w:val="0"/>
          <w:color w:val="auto"/>
          <w:sz w:val="32"/>
          <w:szCs w:val="32"/>
          <w:highlight w:val="none"/>
          <w:lang w:val="en-US" w:eastAsia="zh-CN"/>
        </w:rPr>
        <w:t>（不含年初结转结余），</w:t>
      </w:r>
      <w:r>
        <w:rPr>
          <w:rFonts w:hint="eastAsia" w:ascii="仿宋" w:hAnsi="仿宋" w:eastAsia="仿宋"/>
          <w:color w:val="auto"/>
          <w:sz w:val="32"/>
          <w:szCs w:val="32"/>
        </w:rPr>
        <w:t>其中：一般公共预算财政拨款收入</w:t>
      </w:r>
      <w:r>
        <w:rPr>
          <w:rFonts w:hint="eastAsia" w:ascii="仿宋" w:hAnsi="仿宋" w:eastAsia="仿宋"/>
          <w:color w:val="auto"/>
          <w:sz w:val="32"/>
          <w:szCs w:val="32"/>
          <w:lang w:val="en-US" w:eastAsia="zh-CN"/>
        </w:rPr>
        <w:t>13409.65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98.97</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139.65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1.03</w:t>
      </w:r>
      <w:r>
        <w:rPr>
          <w:rFonts w:ascii="仿宋" w:hAnsi="仿宋" w:eastAsia="仿宋"/>
          <w:color w:val="auto"/>
          <w:sz w:val="32"/>
          <w:szCs w:val="32"/>
        </w:rPr>
        <w:t>%</w:t>
      </w:r>
      <w:r>
        <w:rPr>
          <w:rFonts w:hint="eastAsia" w:ascii="仿宋" w:hAnsi="仿宋" w:eastAsia="仿宋"/>
          <w:color w:val="auto"/>
          <w:sz w:val="32"/>
          <w:szCs w:val="32"/>
        </w:rPr>
        <w:t>。</w:t>
      </w: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r>
        <w:drawing>
          <wp:anchor distT="0" distB="0" distL="114300" distR="114300" simplePos="0" relativeHeight="251659264" behindDoc="1" locked="0" layoutInCell="1" allowOverlap="1">
            <wp:simplePos x="0" y="0"/>
            <wp:positionH relativeFrom="column">
              <wp:posOffset>261620</wp:posOffset>
            </wp:positionH>
            <wp:positionV relativeFrom="paragraph">
              <wp:posOffset>204470</wp:posOffset>
            </wp:positionV>
            <wp:extent cx="4572000" cy="2743200"/>
            <wp:effectExtent l="4445" t="4445" r="14605" b="14605"/>
            <wp:wrapTight wrapText="bothSides">
              <wp:wrapPolygon>
                <wp:start x="-21" y="-35"/>
                <wp:lineTo x="-21" y="21565"/>
                <wp:lineTo x="21579" y="21565"/>
                <wp:lineTo x="21579" y="-35"/>
                <wp:lineTo x="-21" y="-3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hint="default" w:ascii="仿宋" w:hAnsi="仿宋" w:eastAsia="仿宋"/>
          <w:color w:val="auto"/>
          <w:sz w:val="32"/>
          <w:szCs w:val="32"/>
          <w:lang w:val="en-US" w:eastAsia="zh-CN"/>
        </w:rPr>
      </w:pPr>
    </w:p>
    <w:p>
      <w:pPr>
        <w:spacing w:line="600" w:lineRule="exact"/>
        <w:ind w:firstLine="640" w:firstLineChars="200"/>
        <w:outlineLvl w:val="1"/>
        <w:rPr>
          <w:rFonts w:ascii="仿宋" w:hAnsi="仿宋" w:eastAsia="仿宋"/>
          <w:color w:val="auto"/>
          <w:sz w:val="32"/>
          <w:szCs w:val="32"/>
        </w:rPr>
      </w:pPr>
    </w:p>
    <w:p>
      <w:pPr>
        <w:spacing w:line="600" w:lineRule="exact"/>
        <w:ind w:firstLine="640" w:firstLineChars="200"/>
        <w:rPr>
          <w:rFonts w:ascii="仿宋_GB2312" w:eastAsia="仿宋_GB2312"/>
          <w:color w:val="auto"/>
          <w:sz w:val="32"/>
          <w:szCs w:val="32"/>
        </w:rPr>
      </w:pPr>
    </w:p>
    <w:p>
      <w:pPr>
        <w:pStyle w:val="24"/>
        <w:numPr>
          <w:ilvl w:val="0"/>
          <w:numId w:val="1"/>
        </w:numPr>
        <w:spacing w:line="600" w:lineRule="exact"/>
        <w:ind w:firstLineChars="0"/>
        <w:outlineLvl w:val="1"/>
        <w:rPr>
          <w:rStyle w:val="26"/>
          <w:rFonts w:ascii="黑体" w:hAnsi="黑体" w:eastAsia="黑体"/>
          <w:b w:val="0"/>
          <w:color w:val="auto"/>
        </w:rPr>
      </w:pPr>
      <w:bookmarkStart w:id="22" w:name="_Toc15396605"/>
      <w:bookmarkStart w:id="23" w:name="_Toc15377207"/>
    </w:p>
    <w:p>
      <w:pPr>
        <w:pStyle w:val="24"/>
        <w:numPr>
          <w:ilvl w:val="0"/>
          <w:numId w:val="1"/>
        </w:numPr>
        <w:spacing w:line="600" w:lineRule="exact"/>
        <w:ind w:firstLineChars="0"/>
        <w:outlineLvl w:val="1"/>
        <w:rPr>
          <w:rStyle w:val="26"/>
          <w:rFonts w:ascii="黑体" w:hAnsi="黑体" w:eastAsia="黑体"/>
          <w:b w:val="0"/>
          <w:color w:val="auto"/>
        </w:rPr>
      </w:pPr>
    </w:p>
    <w:p>
      <w:pPr>
        <w:pStyle w:val="24"/>
        <w:numPr>
          <w:ilvl w:val="0"/>
          <w:numId w:val="1"/>
        </w:numPr>
        <w:spacing w:line="600" w:lineRule="exact"/>
        <w:ind w:firstLineChars="0"/>
        <w:outlineLvl w:val="1"/>
        <w:rPr>
          <w:rStyle w:val="26"/>
          <w:rFonts w:ascii="黑体" w:hAnsi="黑体" w:eastAsia="黑体"/>
          <w:b w:val="0"/>
          <w:color w:val="auto"/>
        </w:rPr>
      </w:pPr>
    </w:p>
    <w:p>
      <w:pPr>
        <w:pStyle w:val="24"/>
        <w:numPr>
          <w:ilvl w:val="0"/>
          <w:numId w:val="0"/>
        </w:numPr>
        <w:spacing w:line="600" w:lineRule="exact"/>
        <w:ind w:left="640" w:leftChars="0"/>
        <w:outlineLvl w:val="1"/>
        <w:rPr>
          <w:rFonts w:hint="eastAsia" w:ascii="黑体" w:hAnsi="黑体" w:eastAsia="黑体"/>
          <w:color w:val="auto"/>
          <w:sz w:val="32"/>
          <w:szCs w:val="32"/>
        </w:rPr>
      </w:pPr>
    </w:p>
    <w:p>
      <w:pPr>
        <w:pStyle w:val="24"/>
        <w:numPr>
          <w:ilvl w:val="0"/>
          <w:numId w:val="0"/>
        </w:numPr>
        <w:spacing w:line="600" w:lineRule="exact"/>
        <w:ind w:left="640" w:leftChars="0"/>
        <w:outlineLvl w:val="1"/>
        <w:rPr>
          <w:rFonts w:hint="eastAsia" w:ascii="黑体" w:hAnsi="黑体" w:eastAsia="黑体"/>
          <w:color w:val="auto"/>
          <w:sz w:val="32"/>
          <w:szCs w:val="32"/>
        </w:rPr>
      </w:pPr>
    </w:p>
    <w:p>
      <w:pPr>
        <w:pStyle w:val="24"/>
        <w:numPr>
          <w:ilvl w:val="0"/>
          <w:numId w:val="0"/>
        </w:numPr>
        <w:spacing w:line="600" w:lineRule="exact"/>
        <w:ind w:left="640" w:leftChars="0"/>
        <w:outlineLvl w:val="1"/>
        <w:rPr>
          <w:rStyle w:val="26"/>
          <w:rFonts w:ascii="黑体" w:hAnsi="黑体" w:eastAsia="黑体"/>
          <w:b w:val="0"/>
          <w:color w:val="auto"/>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w:t>
      </w:r>
      <w:r>
        <w:rPr>
          <w:rFonts w:hint="eastAsia" w:ascii="仿宋" w:hAnsi="仿宋" w:eastAsia="仿宋"/>
          <w:b w:val="0"/>
          <w:bCs w:val="0"/>
          <w:color w:val="auto"/>
          <w:sz w:val="32"/>
          <w:szCs w:val="32"/>
        </w:rPr>
        <w:t>本年</w:t>
      </w:r>
      <w:r>
        <w:rPr>
          <w:rFonts w:hint="eastAsia" w:ascii="仿宋" w:hAnsi="仿宋" w:eastAsia="仿宋"/>
          <w:color w:val="auto"/>
          <w:sz w:val="32"/>
          <w:szCs w:val="32"/>
        </w:rPr>
        <w:t>支出合计</w:t>
      </w:r>
      <w:r>
        <w:rPr>
          <w:rFonts w:hint="eastAsia" w:ascii="仿宋" w:hAnsi="仿宋" w:eastAsia="仿宋"/>
          <w:color w:val="auto"/>
          <w:sz w:val="32"/>
          <w:szCs w:val="32"/>
          <w:lang w:val="en-US" w:eastAsia="zh-CN"/>
        </w:rPr>
        <w:t>13434.57</w:t>
      </w:r>
      <w:r>
        <w:rPr>
          <w:rFonts w:hint="eastAsia" w:ascii="仿宋" w:hAnsi="仿宋" w:eastAsia="仿宋"/>
          <w:color w:val="auto"/>
          <w:sz w:val="32"/>
          <w:szCs w:val="32"/>
        </w:rPr>
        <w:t>万元</w:t>
      </w:r>
      <w:r>
        <w:rPr>
          <w:rFonts w:hint="eastAsia" w:ascii="仿宋_GB2312" w:hAnsi="仿宋_GB2312" w:eastAsia="仿宋_GB2312" w:cs="仿宋_GB2312"/>
          <w:b w:val="0"/>
          <w:bCs w:val="0"/>
          <w:color w:val="auto"/>
          <w:sz w:val="32"/>
          <w:szCs w:val="32"/>
          <w:highlight w:val="none"/>
          <w:lang w:val="en-US" w:eastAsia="zh-CN"/>
        </w:rPr>
        <w:t>（含年末结转结余）</w:t>
      </w:r>
      <w:r>
        <w:rPr>
          <w:rFonts w:hint="eastAsia" w:ascii="仿宋" w:hAnsi="仿宋" w:eastAsia="仿宋"/>
          <w:b w:val="0"/>
          <w:bCs w:val="0"/>
          <w:color w:val="auto"/>
          <w:sz w:val="32"/>
          <w:szCs w:val="32"/>
          <w:highlight w:val="none"/>
        </w:rPr>
        <w:t>，</w:t>
      </w:r>
      <w:r>
        <w:rPr>
          <w:rFonts w:hint="eastAsia" w:ascii="仿宋" w:hAnsi="仿宋" w:eastAsia="仿宋"/>
          <w:color w:val="auto"/>
          <w:sz w:val="32"/>
          <w:szCs w:val="32"/>
        </w:rPr>
        <w:t>其中：基本支出</w:t>
      </w:r>
      <w:r>
        <w:rPr>
          <w:rFonts w:hint="eastAsia" w:ascii="仿宋" w:hAnsi="仿宋" w:eastAsia="仿宋"/>
          <w:color w:val="auto"/>
          <w:sz w:val="32"/>
          <w:szCs w:val="32"/>
          <w:lang w:val="en-US" w:eastAsia="zh-CN"/>
        </w:rPr>
        <w:t>9103.48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67.76</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4331.09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32.24</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0.00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0.00</w:t>
      </w:r>
      <w:r>
        <w:rPr>
          <w:rFonts w:ascii="仿宋" w:hAnsi="仿宋" w:eastAsia="仿宋"/>
          <w:color w:val="auto"/>
          <w:sz w:val="32"/>
          <w:szCs w:val="32"/>
        </w:rPr>
        <w:t>%</w:t>
      </w:r>
      <w:r>
        <w:rPr>
          <w:rFonts w:hint="eastAsia" w:ascii="仿宋" w:hAnsi="仿宋" w:eastAsia="仿宋"/>
          <w:color w:val="auto"/>
          <w:sz w:val="32"/>
          <w:szCs w:val="32"/>
        </w:rPr>
        <w:t>；。</w:t>
      </w:r>
    </w:p>
    <w:p>
      <w:pPr>
        <w:pStyle w:val="2"/>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 w:hAnsi="仿宋" w:eastAsia="仿宋"/>
          <w:color w:val="auto"/>
          <w:sz w:val="32"/>
          <w:szCs w:val="32"/>
          <w:shd w:val="pct10" w:color="auto" w:fill="FFFFFF"/>
        </w:rPr>
      </w:pPr>
    </w:p>
    <w:p>
      <w:pPr>
        <w:spacing w:line="600" w:lineRule="exact"/>
        <w:ind w:firstLine="640" w:firstLineChars="200"/>
        <w:outlineLvl w:val="1"/>
        <w:rPr>
          <w:rStyle w:val="26"/>
          <w:rFonts w:ascii="黑体" w:hAnsi="黑体" w:eastAsia="黑体"/>
          <w:b w:val="0"/>
          <w:color w:val="auto"/>
        </w:rPr>
      </w:pPr>
      <w:bookmarkStart w:id="24" w:name="_Toc15377208"/>
      <w:bookmarkStart w:id="25" w:name="_Toc15396606"/>
      <w:r>
        <w:rPr>
          <w:rFonts w:hint="eastAsia" w:ascii="黑体" w:hAnsi="黑体" w:eastAsia="黑体"/>
          <w:b w:val="0"/>
          <w:bCs w:val="0"/>
          <w:color w:val="auto"/>
          <w:sz w:val="32"/>
          <w:szCs w:val="32"/>
          <w:lang w:val="en-US" w:eastAsia="zh-CN"/>
        </w:rPr>
        <w:t>四、</w:t>
      </w:r>
      <w:r>
        <w:rPr>
          <w:rFonts w:hint="eastAsia" w:ascii="黑体" w:hAnsi="黑体" w:eastAsia="黑体"/>
          <w:b w:val="0"/>
          <w:bCs w:val="0"/>
          <w:color w:val="auto"/>
          <w:sz w:val="32"/>
          <w:szCs w:val="32"/>
        </w:rPr>
        <w:t>财</w:t>
      </w:r>
      <w:r>
        <w:rPr>
          <w:rStyle w:val="26"/>
          <w:rFonts w:hint="eastAsia" w:ascii="黑体" w:hAnsi="黑体" w:eastAsia="黑体"/>
          <w:b w:val="0"/>
          <w:bCs w:val="0"/>
          <w:color w:val="auto"/>
        </w:rPr>
        <w:t>政拨款</w:t>
      </w:r>
      <w:r>
        <w:rPr>
          <w:rStyle w:val="26"/>
          <w:rFonts w:hint="eastAsia" w:ascii="黑体" w:hAnsi="黑体" w:eastAsia="黑体"/>
          <w:b w:val="0"/>
          <w:color w:val="auto"/>
        </w:rPr>
        <w:t>收入支出决算总体情况说明</w:t>
      </w:r>
      <w:bookmarkEnd w:id="24"/>
      <w:bookmarkEnd w:id="25"/>
    </w:p>
    <w:p>
      <w:pPr>
        <w:spacing w:line="600" w:lineRule="exact"/>
        <w:ind w:firstLine="640" w:firstLineChars="200"/>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13709.65</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年相比，财政拨款收、支总计各增加</w:t>
      </w:r>
      <w:r>
        <w:rPr>
          <w:rFonts w:hint="eastAsia" w:ascii="仿宋" w:hAnsi="仿宋" w:eastAsia="仿宋"/>
          <w:color w:val="auto"/>
          <w:sz w:val="32"/>
          <w:szCs w:val="32"/>
          <w:lang w:val="en-US" w:eastAsia="zh-CN"/>
        </w:rPr>
        <w:t>1489.96</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10.87</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我所原址改扩建进行中，相关配套的一次性专项工程增加。</w:t>
      </w:r>
    </w:p>
    <w:p>
      <w:pPr>
        <w:spacing w:line="600" w:lineRule="exact"/>
        <w:ind w:firstLine="640"/>
        <w:rPr>
          <w:rFonts w:ascii="仿宋" w:hAnsi="仿宋" w:eastAsia="仿宋"/>
          <w:color w:val="auto"/>
          <w:sz w:val="32"/>
          <w:szCs w:val="32"/>
        </w:rPr>
      </w:pPr>
      <w:r>
        <w:drawing>
          <wp:anchor distT="0" distB="0" distL="114300" distR="114300" simplePos="0" relativeHeight="251660288" behindDoc="0" locked="0" layoutInCell="1" allowOverlap="1">
            <wp:simplePos x="0" y="0"/>
            <wp:positionH relativeFrom="column">
              <wp:posOffset>210820</wp:posOffset>
            </wp:positionH>
            <wp:positionV relativeFrom="paragraph">
              <wp:posOffset>169545</wp:posOffset>
            </wp:positionV>
            <wp:extent cx="4572000" cy="2743200"/>
            <wp:effectExtent l="4445" t="4445" r="1460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rPr>
          <w:rFonts w:ascii="仿宋" w:hAnsi="仿宋" w:eastAsia="仿宋"/>
          <w:b/>
          <w:color w:val="auto"/>
          <w:sz w:val="32"/>
          <w:szCs w:val="32"/>
        </w:rPr>
      </w:pPr>
    </w:p>
    <w:p>
      <w:pPr>
        <w:spacing w:line="600" w:lineRule="exact"/>
        <w:ind w:firstLine="640" w:firstLineChars="200"/>
        <w:outlineLvl w:val="1"/>
        <w:rPr>
          <w:rStyle w:val="26"/>
          <w:rFonts w:ascii="黑体" w:hAnsi="黑体" w:eastAsia="黑体"/>
          <w:b w:val="0"/>
          <w:color w:val="auto"/>
        </w:rPr>
      </w:pPr>
      <w:bookmarkStart w:id="26" w:name="_Toc15396607"/>
      <w:bookmarkStart w:id="27"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13409.65</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99.81</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年相比，一般公共预算财政拨款增加</w:t>
      </w:r>
      <w:r>
        <w:rPr>
          <w:rFonts w:hint="eastAsia" w:ascii="仿宋" w:hAnsi="仿宋" w:eastAsia="仿宋"/>
          <w:color w:val="auto"/>
          <w:sz w:val="32"/>
          <w:szCs w:val="32"/>
          <w:lang w:val="en-US" w:eastAsia="zh-CN"/>
        </w:rPr>
        <w:t>1203.39</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9.86</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我所原址改扩建进行中，相关配套的财政拨款一次性专项工程增加。</w:t>
      </w:r>
    </w:p>
    <w:p>
      <w:pPr>
        <w:pStyle w:val="2"/>
        <w:rPr>
          <w:rFonts w:hint="eastAsia" w:ascii="仿宋" w:hAnsi="仿宋" w:eastAsia="仿宋"/>
          <w:color w:val="auto"/>
          <w:sz w:val="32"/>
          <w:szCs w:val="32"/>
          <w:lang w:val="en-US" w:eastAsia="zh-CN"/>
        </w:rPr>
      </w:pPr>
    </w:p>
    <w:p>
      <w:pPr>
        <w:pStyle w:val="2"/>
        <w:rPr>
          <w:rFonts w:hint="eastAsia" w:ascii="仿宋" w:hAnsi="仿宋" w:eastAsia="仿宋"/>
          <w:color w:val="auto"/>
          <w:sz w:val="32"/>
          <w:szCs w:val="32"/>
          <w:lang w:val="en-US" w:eastAsia="zh-CN"/>
        </w:rPr>
      </w:pPr>
    </w:p>
    <w:p>
      <w:pPr>
        <w:pStyle w:val="2"/>
        <w:rPr>
          <w:rFonts w:ascii="仿宋" w:hAnsi="仿宋" w:eastAsia="仿宋"/>
          <w:b/>
          <w:color w:val="auto"/>
          <w:sz w:val="32"/>
          <w:szCs w:val="32"/>
        </w:rPr>
      </w:pPr>
      <w:r>
        <w:drawing>
          <wp:anchor distT="0" distB="0" distL="114300" distR="114300" simplePos="0" relativeHeight="251661312" behindDoc="0" locked="0" layoutInCell="1" allowOverlap="1">
            <wp:simplePos x="0" y="0"/>
            <wp:positionH relativeFrom="column">
              <wp:posOffset>204470</wp:posOffset>
            </wp:positionH>
            <wp:positionV relativeFrom="paragraph">
              <wp:posOffset>52070</wp:posOffset>
            </wp:positionV>
            <wp:extent cx="4848225" cy="2743200"/>
            <wp:effectExtent l="4445" t="4445" r="5080" b="1460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29" w:name="_Toc15377211"/>
      <w:r>
        <w:rPr>
          <w:rFonts w:hint="eastAsia"/>
          <w:lang w:val="en-US" w:eastAsia="zh-CN"/>
        </w:rPr>
        <w:t xml:space="preserve">   </w:t>
      </w:r>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13409.65</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lang w:val="en-US" w:eastAsia="zh-CN"/>
        </w:rPr>
        <w:t>公共安全</w:t>
      </w:r>
      <w:r>
        <w:rPr>
          <w:rFonts w:hint="eastAsia" w:ascii="仿宋" w:hAnsi="仿宋" w:eastAsia="仿宋"/>
          <w:b/>
          <w:bCs/>
          <w:color w:val="auto"/>
          <w:sz w:val="32"/>
          <w:szCs w:val="32"/>
        </w:rPr>
        <w:t>支出</w:t>
      </w:r>
      <w:r>
        <w:rPr>
          <w:rFonts w:hint="eastAsia" w:ascii="仿宋" w:hAnsi="仿宋" w:eastAsia="仿宋"/>
          <w:b/>
          <w:color w:val="auto"/>
          <w:sz w:val="32"/>
          <w:szCs w:val="32"/>
        </w:rPr>
        <w:t>（类）</w:t>
      </w:r>
      <w:r>
        <w:rPr>
          <w:rFonts w:hint="eastAsia" w:ascii="仿宋" w:hAnsi="仿宋" w:eastAsia="仿宋"/>
          <w:color w:val="auto"/>
          <w:sz w:val="32"/>
          <w:szCs w:val="32"/>
          <w:lang w:val="en-US" w:eastAsia="zh-CN"/>
        </w:rPr>
        <w:t>10545.34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78.64</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教育支出（类）</w:t>
      </w:r>
      <w:r>
        <w:rPr>
          <w:rFonts w:hint="eastAsia" w:ascii="仿宋" w:hAnsi="仿宋" w:eastAsia="仿宋"/>
          <w:color w:val="auto"/>
          <w:sz w:val="32"/>
          <w:szCs w:val="32"/>
          <w:lang w:val="en-US" w:eastAsia="zh-CN"/>
        </w:rPr>
        <w:t>28.98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0.22</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w:t>
      </w:r>
      <w:r>
        <w:rPr>
          <w:rFonts w:hint="eastAsia" w:ascii="仿宋" w:hAnsi="仿宋" w:eastAsia="仿宋"/>
          <w:b/>
          <w:bCs w:val="0"/>
          <w:color w:val="auto"/>
          <w:sz w:val="32"/>
          <w:szCs w:val="32"/>
        </w:rPr>
        <w:t>业支出</w:t>
      </w:r>
      <w:r>
        <w:rPr>
          <w:rFonts w:hint="eastAsia" w:ascii="仿宋" w:hAnsi="仿宋" w:eastAsia="仿宋"/>
          <w:b/>
          <w:color w:val="auto"/>
          <w:sz w:val="32"/>
          <w:szCs w:val="32"/>
        </w:rPr>
        <w:t>（类）</w:t>
      </w:r>
      <w:r>
        <w:rPr>
          <w:rFonts w:hint="eastAsia" w:ascii="仿宋" w:hAnsi="仿宋" w:eastAsia="仿宋"/>
          <w:color w:val="auto"/>
          <w:sz w:val="32"/>
          <w:szCs w:val="32"/>
          <w:lang w:val="en-US" w:eastAsia="zh-CN"/>
        </w:rPr>
        <w:t>991.80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7.40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588.36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4.39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1255.18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9.36</w:t>
      </w:r>
      <w:r>
        <w:rPr>
          <w:rFonts w:ascii="仿宋" w:hAnsi="仿宋" w:eastAsia="仿宋"/>
          <w:color w:val="auto"/>
          <w:sz w:val="32"/>
          <w:szCs w:val="32"/>
        </w:rPr>
        <w:t>%</w:t>
      </w:r>
      <w:r>
        <w:rPr>
          <w:rFonts w:hint="eastAsia" w:ascii="仿宋" w:hAnsi="仿宋" w:eastAsia="仿宋"/>
          <w:color w:val="auto"/>
          <w:sz w:val="32"/>
          <w:szCs w:val="32"/>
        </w:rPr>
        <w:t>。</w:t>
      </w:r>
    </w:p>
    <w:p>
      <w:pPr>
        <w:pStyle w:val="2"/>
        <w:rPr>
          <w:rFonts w:hint="eastAsia"/>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（图6：一般公共预算财政拨款支出决算结构）</w:t>
      </w:r>
    </w:p>
    <w:p>
      <w:pPr>
        <w:spacing w:line="600" w:lineRule="exact"/>
        <w:ind w:firstLine="643" w:firstLineChars="200"/>
        <w:outlineLvl w:val="2"/>
        <w:rPr>
          <w:rFonts w:ascii="仿宋" w:hAnsi="仿宋" w:eastAsia="仿宋"/>
          <w:b/>
          <w:color w:val="auto"/>
          <w:sz w:val="32"/>
          <w:szCs w:val="32"/>
        </w:rPr>
      </w:pPr>
      <w:bookmarkStart w:id="30" w:name="_Toc15377212"/>
      <w:r>
        <w:rPr>
          <w:rFonts w:hint="eastAsia" w:ascii="仿宋" w:hAnsi="仿宋" w:eastAsia="仿宋"/>
          <w:b/>
          <w:color w:val="auto"/>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rPr>
      </w:pPr>
      <w:bookmarkStart w:id="31" w:name="_Toc15377444"/>
      <w:bookmarkStart w:id="32" w:name="_Toc15377213"/>
      <w:bookmarkStart w:id="33" w:name="_Toc15378460"/>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13409.65万元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98.57</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31"/>
      <w:bookmarkEnd w:id="32"/>
      <w:bookmarkEnd w:id="33"/>
    </w:p>
    <w:p>
      <w:pPr>
        <w:spacing w:line="600" w:lineRule="exact"/>
        <w:ind w:firstLine="643" w:firstLineChars="200"/>
        <w:rPr>
          <w:rFonts w:ascii="仿宋" w:hAnsi="仿宋" w:eastAsia="仿宋"/>
          <w:b/>
          <w:color w:val="auto"/>
          <w:sz w:val="32"/>
          <w:szCs w:val="32"/>
        </w:rPr>
      </w:pPr>
      <w:r>
        <w:rPr>
          <w:rStyle w:val="15"/>
          <w:rFonts w:ascii="仿宋" w:hAnsi="仿宋" w:eastAsia="仿宋"/>
          <w:bCs/>
          <w:color w:val="auto"/>
          <w:sz w:val="32"/>
          <w:szCs w:val="32"/>
        </w:rPr>
        <w:t>1.</w:t>
      </w:r>
      <w:r>
        <w:rPr>
          <w:rStyle w:val="15"/>
          <w:rFonts w:hint="eastAsia" w:ascii="仿宋" w:hAnsi="仿宋" w:eastAsia="仿宋" w:cs="仿宋"/>
          <w:color w:val="000000"/>
          <w:sz w:val="32"/>
          <w:szCs w:val="32"/>
        </w:rPr>
        <w:t>公共安全支出（类）监狱（款）行政运行（项）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6281.37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99.93</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val="en-US" w:eastAsia="zh-CN"/>
        </w:rPr>
        <w:t>受疫情影响，公务接待费预算执行未完成</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5"/>
          <w:rFonts w:ascii="仿宋" w:hAnsi="仿宋" w:eastAsia="仿宋"/>
          <w:bCs/>
          <w:color w:val="auto"/>
          <w:sz w:val="32"/>
          <w:szCs w:val="32"/>
        </w:rPr>
        <w:t>2.</w:t>
      </w:r>
      <w:r>
        <w:rPr>
          <w:rFonts w:hint="eastAsia" w:ascii="仿宋" w:hAnsi="仿宋" w:eastAsia="仿宋" w:cs="仿宋"/>
          <w:b/>
          <w:bCs/>
          <w:color w:val="000000"/>
          <w:sz w:val="32"/>
          <w:szCs w:val="32"/>
          <w:lang w:val="en-US" w:eastAsia="zh-CN"/>
        </w:rPr>
        <w:t>公</w:t>
      </w:r>
      <w:r>
        <w:rPr>
          <w:rStyle w:val="15"/>
          <w:rFonts w:hint="eastAsia" w:ascii="仿宋" w:hAnsi="仿宋" w:eastAsia="仿宋" w:cs="仿宋"/>
          <w:color w:val="000000"/>
          <w:sz w:val="32"/>
          <w:szCs w:val="32"/>
        </w:rPr>
        <w:t>共安全支出（类）监狱（款）一般行政管理事务（项）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308.79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93.62</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val="en-US" w:eastAsia="zh-CN"/>
        </w:rPr>
        <w:t>政府采购项目有结余</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3</w:t>
      </w:r>
      <w:r>
        <w:rPr>
          <w:rStyle w:val="15"/>
          <w:rFonts w:ascii="仿宋" w:hAnsi="仿宋" w:eastAsia="仿宋"/>
          <w:bCs/>
          <w:color w:val="auto"/>
          <w:sz w:val="32"/>
          <w:szCs w:val="32"/>
        </w:rPr>
        <w:t>.</w:t>
      </w:r>
      <w:r>
        <w:rPr>
          <w:rStyle w:val="15"/>
          <w:rFonts w:hint="eastAsia" w:ascii="仿宋" w:hAnsi="仿宋" w:eastAsia="仿宋" w:cs="仿宋"/>
          <w:color w:val="000000"/>
          <w:sz w:val="32"/>
          <w:szCs w:val="32"/>
        </w:rPr>
        <w:t>公共安全支出（类）</w:t>
      </w:r>
      <w:r>
        <w:rPr>
          <w:rStyle w:val="15"/>
          <w:rFonts w:hint="eastAsia" w:ascii="仿宋" w:hAnsi="仿宋" w:eastAsia="仿宋" w:cs="仿宋"/>
          <w:color w:val="auto"/>
          <w:sz w:val="32"/>
          <w:szCs w:val="32"/>
        </w:rPr>
        <w:t>其他公共安全支出（</w:t>
      </w:r>
      <w:r>
        <w:rPr>
          <w:rStyle w:val="15"/>
          <w:rFonts w:hint="eastAsia" w:ascii="仿宋" w:hAnsi="仿宋" w:eastAsia="仿宋" w:cs="仿宋"/>
          <w:color w:val="000000"/>
          <w:sz w:val="32"/>
          <w:szCs w:val="32"/>
        </w:rPr>
        <w:t>款）其他公共安全支出（项）：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1500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4</w:t>
      </w:r>
      <w:r>
        <w:rPr>
          <w:rStyle w:val="15"/>
          <w:rFonts w:ascii="仿宋" w:hAnsi="仿宋" w:eastAsia="仿宋"/>
          <w:bCs/>
          <w:color w:val="auto"/>
          <w:sz w:val="32"/>
          <w:szCs w:val="32"/>
        </w:rPr>
        <w:t>.</w:t>
      </w:r>
      <w:r>
        <w:rPr>
          <w:rStyle w:val="15"/>
          <w:rFonts w:hint="eastAsia" w:ascii="仿宋" w:hAnsi="仿宋" w:eastAsia="仿宋" w:cs="仿宋"/>
          <w:color w:val="auto"/>
          <w:sz w:val="32"/>
          <w:szCs w:val="32"/>
          <w:lang w:eastAsia="zh-CN"/>
        </w:rPr>
        <w:t>教育</w:t>
      </w:r>
      <w:r>
        <w:rPr>
          <w:rStyle w:val="15"/>
          <w:rFonts w:hint="eastAsia" w:ascii="仿宋" w:hAnsi="仿宋" w:eastAsia="仿宋" w:cs="仿宋"/>
          <w:color w:val="auto"/>
          <w:sz w:val="32"/>
          <w:szCs w:val="32"/>
        </w:rPr>
        <w:t>支出（类）</w:t>
      </w:r>
      <w:r>
        <w:rPr>
          <w:rStyle w:val="15"/>
          <w:rFonts w:hint="eastAsia" w:ascii="仿宋" w:hAnsi="仿宋" w:eastAsia="仿宋" w:cs="仿宋"/>
          <w:color w:val="auto"/>
          <w:sz w:val="32"/>
          <w:szCs w:val="32"/>
          <w:lang w:eastAsia="zh-CN"/>
        </w:rPr>
        <w:t>进修及培训</w:t>
      </w:r>
      <w:r>
        <w:rPr>
          <w:rStyle w:val="15"/>
          <w:rFonts w:hint="eastAsia" w:ascii="仿宋" w:hAnsi="仿宋" w:eastAsia="仿宋" w:cs="仿宋"/>
          <w:color w:val="auto"/>
          <w:sz w:val="32"/>
          <w:szCs w:val="32"/>
        </w:rPr>
        <w:t>（款）</w:t>
      </w:r>
      <w:r>
        <w:rPr>
          <w:rStyle w:val="15"/>
          <w:rFonts w:hint="eastAsia" w:ascii="仿宋" w:hAnsi="仿宋" w:eastAsia="仿宋" w:cs="仿宋"/>
          <w:color w:val="000000"/>
          <w:sz w:val="32"/>
          <w:szCs w:val="32"/>
          <w:lang w:eastAsia="zh-CN"/>
        </w:rPr>
        <w:t>培训支出</w:t>
      </w:r>
      <w:r>
        <w:rPr>
          <w:rStyle w:val="15"/>
          <w:rFonts w:hint="eastAsia" w:ascii="仿宋" w:hAnsi="仿宋" w:eastAsia="仿宋" w:cs="仿宋"/>
          <w:color w:val="000000"/>
          <w:sz w:val="32"/>
          <w:szCs w:val="32"/>
        </w:rPr>
        <w:t>（项）</w:t>
      </w:r>
      <w:r>
        <w:rPr>
          <w:rStyle w:val="15"/>
          <w:rFonts w:hint="eastAsia" w:ascii="仿宋" w:hAnsi="仿宋" w:eastAsia="仿宋" w:cs="仿宋"/>
          <w:color w:val="000000"/>
          <w:sz w:val="32"/>
          <w:szCs w:val="32"/>
          <w:lang w:eastAsia="zh-CN"/>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28.98</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48.30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val="en-US" w:eastAsia="zh-CN"/>
        </w:rPr>
        <w:t>受疫情影响，培训减少，培训支出减少</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5"/>
          <w:rFonts w:hint="eastAsia" w:ascii="仿宋" w:hAnsi="仿宋" w:eastAsia="仿宋" w:cstheme="minorBidi"/>
          <w:bCs/>
          <w:color w:val="auto"/>
          <w:sz w:val="32"/>
          <w:szCs w:val="32"/>
          <w:lang w:val="en-US" w:eastAsia="zh-CN"/>
        </w:rPr>
        <w:t>5.</w:t>
      </w:r>
      <w:r>
        <w:rPr>
          <w:rStyle w:val="15"/>
          <w:rFonts w:hint="eastAsia" w:ascii="仿宋" w:hAnsi="仿宋" w:eastAsia="仿宋" w:cs="仿宋"/>
          <w:color w:val="000000"/>
          <w:sz w:val="32"/>
          <w:szCs w:val="32"/>
        </w:rPr>
        <w:t>社会保障和就业支出（类）行政事业单位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color w:val="000000"/>
          <w:sz w:val="32"/>
          <w:szCs w:val="32"/>
        </w:rPr>
        <w:t>（款）行政单位离退休（项）：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373.37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420" w:firstLineChars="200"/>
        <w:rPr>
          <w:rStyle w:val="15"/>
          <w:rFonts w:hint="eastAsia" w:ascii="仿宋" w:hAnsi="仿宋" w:eastAsia="仿宋"/>
          <w:b w:val="0"/>
          <w:bCs/>
          <w:color w:val="auto"/>
          <w:sz w:val="32"/>
          <w:szCs w:val="32"/>
        </w:rPr>
      </w:pPr>
      <w:r>
        <w:rPr>
          <w:rFonts w:hint="eastAsia"/>
          <w:lang w:val="en-US" w:eastAsia="zh-CN"/>
        </w:rPr>
        <w:t xml:space="preserve">  </w:t>
      </w:r>
      <w:r>
        <w:rPr>
          <w:rStyle w:val="15"/>
          <w:rFonts w:hint="eastAsia" w:ascii="仿宋" w:hAnsi="仿宋" w:eastAsia="仿宋" w:cs="仿宋"/>
          <w:color w:val="000000"/>
          <w:sz w:val="32"/>
          <w:szCs w:val="32"/>
          <w:lang w:val="en-US" w:eastAsia="zh-CN"/>
        </w:rPr>
        <w:t>6.</w:t>
      </w:r>
      <w:r>
        <w:rPr>
          <w:rStyle w:val="15"/>
          <w:rFonts w:hint="eastAsia" w:ascii="仿宋" w:hAnsi="仿宋" w:eastAsia="仿宋" w:cs="仿宋"/>
          <w:color w:val="000000"/>
          <w:sz w:val="32"/>
          <w:szCs w:val="32"/>
        </w:rPr>
        <w:t>社会保障和就业支出（类）行政事业单位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color w:val="000000"/>
          <w:sz w:val="32"/>
          <w:szCs w:val="32"/>
        </w:rPr>
        <w:t>（款）机关事业单位基本养老保险缴费支出（项）：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548.88</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95.93</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val="en-US" w:eastAsia="zh-CN"/>
        </w:rPr>
        <w:t>单位养老保险严格按政策执行后有结余</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仿宋"/>
          <w:color w:val="000000"/>
          <w:kern w:val="2"/>
          <w:sz w:val="32"/>
          <w:szCs w:val="32"/>
          <w:lang w:val="en-US" w:eastAsia="zh-CN" w:bidi="ar-SA"/>
        </w:rPr>
        <w:t xml:space="preserve">7. </w:t>
      </w:r>
      <w:r>
        <w:rPr>
          <w:rStyle w:val="15"/>
          <w:rFonts w:hint="eastAsia" w:ascii="仿宋" w:hAnsi="仿宋" w:eastAsia="仿宋" w:cs="仿宋"/>
          <w:color w:val="000000"/>
          <w:sz w:val="32"/>
          <w:szCs w:val="32"/>
        </w:rPr>
        <w:t>社会保障和就业支出（类）行政事业单位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color w:val="000000"/>
          <w:sz w:val="32"/>
          <w:szCs w:val="32"/>
        </w:rPr>
        <w:t>（款）</w:t>
      </w:r>
      <w:r>
        <w:rPr>
          <w:rStyle w:val="15"/>
          <w:rFonts w:hint="eastAsia" w:ascii="仿宋" w:hAnsi="仿宋" w:eastAsia="仿宋" w:cs="仿宋"/>
          <w:b/>
          <w:bCs/>
          <w:color w:val="000000"/>
          <w:sz w:val="32"/>
          <w:szCs w:val="32"/>
          <w:lang w:eastAsia="zh-CN"/>
        </w:rPr>
        <w:t>机关事业单位职业年金缴费支出（</w:t>
      </w:r>
      <w:r>
        <w:rPr>
          <w:rStyle w:val="15"/>
          <w:rFonts w:hint="eastAsia" w:ascii="仿宋" w:hAnsi="仿宋" w:eastAsia="仿宋" w:cs="仿宋"/>
          <w:b/>
          <w:bCs/>
          <w:color w:val="000000"/>
          <w:sz w:val="32"/>
          <w:szCs w:val="32"/>
          <w:lang w:val="en-US" w:eastAsia="zh-CN"/>
        </w:rPr>
        <w:t>项</w:t>
      </w:r>
      <w:r>
        <w:rPr>
          <w:rStyle w:val="15"/>
          <w:rFonts w:hint="eastAsia" w:ascii="仿宋" w:hAnsi="仿宋" w:eastAsia="仿宋" w:cs="仿宋"/>
          <w:b/>
          <w:bCs/>
          <w:color w:val="000000"/>
          <w:sz w:val="32"/>
          <w:szCs w:val="32"/>
          <w:lang w:eastAsia="zh-CN"/>
        </w:rPr>
        <w:t>）</w:t>
      </w:r>
      <w:r>
        <w:rPr>
          <w:rStyle w:val="15"/>
          <w:rFonts w:hint="eastAsia" w:ascii="仿宋" w:hAnsi="仿宋" w:eastAsia="仿宋" w:cs="仿宋"/>
          <w:b/>
          <w:bCs/>
          <w:color w:val="000000"/>
          <w:sz w:val="32"/>
          <w:szCs w:val="32"/>
          <w:lang w:val="en-US" w:eastAsia="zh-CN"/>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51.43</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仿宋"/>
          <w:color w:val="000000"/>
          <w:sz w:val="32"/>
          <w:szCs w:val="32"/>
          <w:lang w:val="en-US" w:eastAsia="zh-CN"/>
        </w:rPr>
        <w:t>8.</w:t>
      </w:r>
      <w:r>
        <w:rPr>
          <w:rStyle w:val="15"/>
          <w:rFonts w:hint="eastAsia" w:ascii="仿宋" w:hAnsi="仿宋" w:eastAsia="仿宋" w:cs="仿宋"/>
          <w:color w:val="000000"/>
          <w:sz w:val="32"/>
          <w:szCs w:val="32"/>
        </w:rPr>
        <w:t>社会保障和就业支出（类）抚恤（款）死亡抚恤（项）：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15.28</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仿宋"/>
          <w:color w:val="000000"/>
          <w:sz w:val="32"/>
          <w:szCs w:val="32"/>
          <w:lang w:val="en-US" w:eastAsia="zh-CN"/>
        </w:rPr>
        <w:t>9.</w:t>
      </w:r>
      <w:r>
        <w:rPr>
          <w:rStyle w:val="15"/>
          <w:rFonts w:hint="eastAsia" w:ascii="仿宋" w:hAnsi="仿宋" w:eastAsia="仿宋" w:cs="仿宋"/>
          <w:color w:val="000000"/>
          <w:sz w:val="32"/>
          <w:szCs w:val="32"/>
        </w:rPr>
        <w:t>社会保障和就业支出（类）其他社会保障和就业支出（款）其他社会保障和就业支出（项）：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2.84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仿宋"/>
          <w:color w:val="000000"/>
          <w:sz w:val="32"/>
          <w:szCs w:val="32"/>
          <w:lang w:val="en-US" w:eastAsia="zh-CN"/>
        </w:rPr>
        <w:t>10.卫生健康</w:t>
      </w:r>
      <w:r>
        <w:rPr>
          <w:rStyle w:val="15"/>
          <w:rFonts w:hint="eastAsia" w:ascii="仿宋" w:hAnsi="仿宋" w:eastAsia="仿宋" w:cs="仿宋"/>
          <w:color w:val="000000"/>
          <w:sz w:val="32"/>
          <w:szCs w:val="32"/>
        </w:rPr>
        <w:t>支出（类）</w:t>
      </w:r>
      <w:r>
        <w:rPr>
          <w:rStyle w:val="15"/>
          <w:rFonts w:hint="eastAsia" w:ascii="仿宋" w:hAnsi="仿宋" w:eastAsia="仿宋" w:cs="仿宋"/>
          <w:color w:val="000000"/>
          <w:sz w:val="32"/>
          <w:szCs w:val="32"/>
          <w:lang w:val="en-US" w:eastAsia="zh-CN"/>
        </w:rPr>
        <w:t>行政事业单位医疗</w:t>
      </w:r>
      <w:r>
        <w:rPr>
          <w:rStyle w:val="15"/>
          <w:rFonts w:hint="eastAsia" w:ascii="仿宋" w:hAnsi="仿宋" w:eastAsia="仿宋" w:cs="仿宋"/>
          <w:color w:val="000000"/>
          <w:sz w:val="32"/>
          <w:szCs w:val="32"/>
        </w:rPr>
        <w:t>（款）</w:t>
      </w:r>
      <w:r>
        <w:rPr>
          <w:rStyle w:val="15"/>
          <w:rFonts w:hint="eastAsia" w:ascii="仿宋" w:hAnsi="仿宋" w:eastAsia="仿宋" w:cs="仿宋"/>
          <w:color w:val="000000"/>
          <w:sz w:val="32"/>
          <w:szCs w:val="32"/>
          <w:lang w:val="en-US" w:eastAsia="zh-CN"/>
        </w:rPr>
        <w:t>行政单位医疗</w:t>
      </w:r>
      <w:r>
        <w:rPr>
          <w:rStyle w:val="15"/>
          <w:rFonts w:hint="eastAsia" w:ascii="仿宋" w:hAnsi="仿宋" w:eastAsia="仿宋" w:cs="仿宋"/>
          <w:color w:val="000000"/>
          <w:sz w:val="32"/>
          <w:szCs w:val="32"/>
        </w:rPr>
        <w:t>（项）：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492.86</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lang w:val="en-US" w:eastAsia="zh-CN"/>
        </w:rPr>
      </w:pPr>
      <w:r>
        <w:rPr>
          <w:rStyle w:val="15"/>
          <w:rFonts w:hint="eastAsia" w:ascii="仿宋" w:hAnsi="仿宋" w:eastAsia="仿宋" w:cs="仿宋"/>
          <w:color w:val="000000"/>
          <w:sz w:val="32"/>
          <w:szCs w:val="32"/>
          <w:lang w:val="en-US" w:eastAsia="zh-CN"/>
        </w:rPr>
        <w:t>11.卫生健康</w:t>
      </w:r>
      <w:r>
        <w:rPr>
          <w:rStyle w:val="15"/>
          <w:rFonts w:hint="eastAsia" w:ascii="仿宋" w:hAnsi="仿宋" w:eastAsia="仿宋" w:cs="仿宋"/>
          <w:color w:val="000000"/>
          <w:sz w:val="32"/>
          <w:szCs w:val="32"/>
        </w:rPr>
        <w:t>支出（类）</w:t>
      </w:r>
      <w:r>
        <w:rPr>
          <w:rStyle w:val="15"/>
          <w:rFonts w:hint="eastAsia" w:ascii="仿宋" w:hAnsi="仿宋" w:eastAsia="仿宋" w:cs="仿宋"/>
          <w:color w:val="000000"/>
          <w:sz w:val="32"/>
          <w:szCs w:val="32"/>
          <w:lang w:val="en-US" w:eastAsia="zh-CN"/>
        </w:rPr>
        <w:t>行政事业单位医疗</w:t>
      </w:r>
      <w:r>
        <w:rPr>
          <w:rStyle w:val="15"/>
          <w:rFonts w:hint="eastAsia" w:ascii="仿宋" w:hAnsi="仿宋" w:eastAsia="仿宋" w:cs="仿宋"/>
          <w:color w:val="000000"/>
          <w:sz w:val="32"/>
          <w:szCs w:val="32"/>
        </w:rPr>
        <w:t>（款）</w:t>
      </w:r>
      <w:r>
        <w:rPr>
          <w:rStyle w:val="15"/>
          <w:rFonts w:hint="eastAsia" w:ascii="仿宋" w:hAnsi="仿宋" w:eastAsia="仿宋" w:cs="仿宋"/>
          <w:color w:val="000000"/>
          <w:sz w:val="32"/>
          <w:szCs w:val="32"/>
          <w:lang w:val="en-US" w:eastAsia="zh-CN"/>
        </w:rPr>
        <w:t>公务员医疗补助</w:t>
      </w:r>
      <w:r>
        <w:rPr>
          <w:rStyle w:val="15"/>
          <w:rFonts w:hint="eastAsia" w:ascii="仿宋" w:hAnsi="仿宋" w:eastAsia="仿宋" w:cs="仿宋"/>
          <w:color w:val="000000"/>
          <w:sz w:val="32"/>
          <w:szCs w:val="32"/>
        </w:rPr>
        <w:t>（项）：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95.50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Style w:val="15"/>
          <w:rFonts w:hint="eastAsia" w:ascii="仿宋" w:hAnsi="仿宋" w:eastAsia="仿宋"/>
          <w:b w:val="0"/>
          <w:bCs/>
          <w:color w:val="auto"/>
          <w:sz w:val="32"/>
          <w:szCs w:val="32"/>
          <w:lang w:val="en-US" w:eastAsia="zh-CN"/>
        </w:rPr>
        <w:t xml:space="preserve"> </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仿宋"/>
          <w:color w:val="000000"/>
          <w:sz w:val="32"/>
          <w:szCs w:val="32"/>
          <w:lang w:val="en-US" w:eastAsia="zh-CN"/>
        </w:rPr>
        <w:t>12.</w:t>
      </w:r>
      <w:r>
        <w:rPr>
          <w:rStyle w:val="15"/>
          <w:rFonts w:hint="eastAsia" w:ascii="仿宋" w:hAnsi="仿宋" w:eastAsia="仿宋" w:cs="仿宋"/>
          <w:color w:val="000000"/>
          <w:sz w:val="32"/>
          <w:szCs w:val="32"/>
        </w:rPr>
        <w:t>住房保障支出（类）住房改革支出（款）住房公积金（项）：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571.06</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99.97</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val="en-US" w:eastAsia="zh-CN"/>
        </w:rPr>
        <w:t>公积金按政策购买后有结余</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5"/>
          <w:rFonts w:hint="eastAsia" w:ascii="仿宋" w:hAnsi="仿宋" w:eastAsia="仿宋" w:cs="仿宋"/>
          <w:color w:val="000000"/>
          <w:sz w:val="32"/>
          <w:szCs w:val="32"/>
          <w:lang w:val="en-US" w:eastAsia="zh-CN"/>
        </w:rPr>
        <w:t>13.</w:t>
      </w:r>
      <w:r>
        <w:rPr>
          <w:rStyle w:val="15"/>
          <w:rFonts w:hint="eastAsia" w:ascii="仿宋" w:hAnsi="仿宋" w:eastAsia="仿宋" w:cs="仿宋"/>
          <w:color w:val="000000"/>
          <w:sz w:val="32"/>
          <w:szCs w:val="32"/>
        </w:rPr>
        <w:t>住房保障支出（类）住房改革支出（款）</w:t>
      </w:r>
      <w:r>
        <w:rPr>
          <w:rStyle w:val="15"/>
          <w:rFonts w:hint="eastAsia" w:ascii="仿宋" w:hAnsi="仿宋" w:eastAsia="仿宋" w:cs="仿宋"/>
          <w:color w:val="000000"/>
          <w:sz w:val="32"/>
          <w:szCs w:val="32"/>
          <w:lang w:val="en-US" w:eastAsia="zh-CN"/>
        </w:rPr>
        <w:t>购房补贴</w:t>
      </w:r>
      <w:r>
        <w:rPr>
          <w:rStyle w:val="15"/>
          <w:rFonts w:hint="eastAsia" w:ascii="仿宋" w:hAnsi="仿宋" w:eastAsia="仿宋" w:cs="仿宋"/>
          <w:color w:val="000000"/>
          <w:sz w:val="32"/>
          <w:szCs w:val="32"/>
        </w:rPr>
        <w:t>（项）：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684.12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tabs>
          <w:tab w:val="right" w:pos="8306"/>
        </w:tabs>
        <w:spacing w:line="600" w:lineRule="exact"/>
        <w:ind w:firstLine="640"/>
        <w:outlineLvl w:val="1"/>
        <w:rPr>
          <w:rFonts w:hint="eastAsia" w:ascii="黑体" w:eastAsia="黑体"/>
          <w:color w:val="auto"/>
          <w:sz w:val="32"/>
          <w:szCs w:val="32"/>
        </w:rPr>
      </w:pPr>
      <w:bookmarkStart w:id="34" w:name="_Toc15396608"/>
      <w:bookmarkStart w:id="35" w:name="_Toc15377214"/>
    </w:p>
    <w:p>
      <w:pPr>
        <w:tabs>
          <w:tab w:val="right" w:pos="8306"/>
        </w:tabs>
        <w:spacing w:line="600" w:lineRule="exact"/>
        <w:ind w:firstLine="640"/>
        <w:outlineLvl w:val="1"/>
        <w:rPr>
          <w:rStyle w:val="26"/>
          <w:color w:val="auto"/>
        </w:rPr>
      </w:pPr>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34"/>
      <w:bookmarkEnd w:id="35"/>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9086.40</w:t>
      </w:r>
      <w:r>
        <w:rPr>
          <w:rFonts w:hint="eastAsia" w:ascii="仿宋" w:hAnsi="仿宋" w:eastAsia="仿宋"/>
          <w:color w:val="auto"/>
          <w:sz w:val="32"/>
          <w:szCs w:val="32"/>
        </w:rPr>
        <w:t>万元，其中：</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8300.83</w:t>
      </w:r>
      <w:r>
        <w:rPr>
          <w:rFonts w:hint="eastAsia" w:ascii="仿宋" w:hAnsi="仿宋" w:eastAsia="仿宋"/>
          <w:color w:val="auto"/>
          <w:sz w:val="32"/>
          <w:szCs w:val="32"/>
        </w:rPr>
        <w:t>万元，主要包括：</w:t>
      </w:r>
      <w:r>
        <w:rPr>
          <w:rFonts w:hint="eastAsia" w:ascii="仿宋" w:hAnsi="仿宋" w:eastAsia="仿宋"/>
          <w:color w:val="000000"/>
          <w:sz w:val="32"/>
          <w:szCs w:val="32"/>
        </w:rPr>
        <w:t>基本工资、津贴补贴、奖金</w:t>
      </w:r>
      <w:r>
        <w:rPr>
          <w:rFonts w:hint="eastAsia" w:ascii="仿宋" w:hAnsi="仿宋" w:eastAsia="仿宋"/>
          <w:color w:val="000000"/>
          <w:sz w:val="32"/>
          <w:szCs w:val="32"/>
          <w:lang w:eastAsia="zh-CN"/>
        </w:rPr>
        <w:t>、</w:t>
      </w:r>
      <w:r>
        <w:rPr>
          <w:rFonts w:hint="eastAsia" w:ascii="仿宋" w:hAnsi="仿宋" w:eastAsia="仿宋"/>
          <w:color w:val="000000"/>
          <w:sz w:val="32"/>
          <w:szCs w:val="32"/>
        </w:rPr>
        <w:t>绩效工资、机关事业单位基本养老保险缴费、职业年金缴费、</w:t>
      </w:r>
      <w:r>
        <w:rPr>
          <w:rFonts w:hint="eastAsia" w:ascii="仿宋" w:hAnsi="仿宋" w:eastAsia="仿宋"/>
          <w:color w:val="000000"/>
          <w:sz w:val="32"/>
          <w:szCs w:val="32"/>
          <w:lang w:val="en-US" w:eastAsia="zh-CN"/>
        </w:rPr>
        <w:t>职工基本医疗保险缴费、公务员医疗补助缴费、</w:t>
      </w:r>
      <w:r>
        <w:rPr>
          <w:rFonts w:hint="eastAsia" w:ascii="仿宋" w:hAnsi="仿宋" w:eastAsia="仿宋"/>
          <w:color w:val="000000"/>
          <w:sz w:val="32"/>
          <w:szCs w:val="32"/>
        </w:rPr>
        <w:t>住房公积金、其他工资福利支出、离休费、抚恤金、生活补助、其他对个人和家庭的补助支出等。</w:t>
      </w:r>
      <w:r>
        <w:rPr>
          <w:rFonts w:ascii="仿宋" w:hAnsi="仿宋" w:eastAsia="仿宋"/>
          <w:color w:val="000000"/>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785.57</w:t>
      </w:r>
      <w:r>
        <w:rPr>
          <w:rFonts w:hint="eastAsia" w:ascii="仿宋" w:hAnsi="仿宋" w:eastAsia="仿宋"/>
          <w:color w:val="auto"/>
          <w:sz w:val="32"/>
          <w:szCs w:val="32"/>
        </w:rPr>
        <w:t>万元，主要包括：</w:t>
      </w:r>
      <w:r>
        <w:rPr>
          <w:rFonts w:hint="eastAsia" w:ascii="仿宋" w:hAnsi="仿宋" w:eastAsia="仿宋"/>
          <w:color w:val="000000"/>
          <w:sz w:val="32"/>
          <w:szCs w:val="32"/>
        </w:rPr>
        <w:t>办公费、印刷费、咨询费、手续费、水费、电费、邮电费、取暖费、差旅费、维修（护）费、租赁费、会议费、培训费、劳务费、委托业务费、工会经费、福利费、其他交通费用、其他商品和服务支出等。</w:t>
      </w:r>
    </w:p>
    <w:p>
      <w:pPr>
        <w:spacing w:line="600" w:lineRule="exact"/>
        <w:ind w:firstLine="640"/>
        <w:outlineLvl w:val="1"/>
        <w:rPr>
          <w:rFonts w:hint="eastAsia" w:ascii="黑体" w:eastAsia="黑体"/>
          <w:color w:val="auto"/>
          <w:sz w:val="32"/>
          <w:szCs w:val="32"/>
        </w:rPr>
      </w:pPr>
      <w:bookmarkStart w:id="36" w:name="_Toc15377215"/>
      <w:bookmarkStart w:id="37" w:name="_Toc15396609"/>
    </w:p>
    <w:p>
      <w:pPr>
        <w:spacing w:line="600" w:lineRule="exact"/>
        <w:ind w:firstLine="640"/>
        <w:outlineLvl w:val="1"/>
        <w:rPr>
          <w:rFonts w:hint="eastAsia" w:ascii="仿宋_GB2312" w:hAnsi="仿宋_GB2312" w:eastAsia="仿宋_GB2312" w:cs="仿宋_GB2312"/>
          <w:b/>
          <w:bCs/>
          <w:color w:val="0000FF"/>
          <w:sz w:val="32"/>
          <w:szCs w:val="32"/>
          <w:highlight w:val="yellow"/>
          <w:lang w:val="en-US" w:eastAsia="zh-CN"/>
        </w:rPr>
      </w:pPr>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w:t>
      </w:r>
      <w:r>
        <w:rPr>
          <w:rFonts w:hint="eastAsia" w:ascii="仿宋" w:hAnsi="仿宋" w:eastAsia="仿宋"/>
          <w:color w:val="auto"/>
          <w:sz w:val="32"/>
          <w:szCs w:val="32"/>
          <w:lang w:val="en-US" w:eastAsia="zh-CN"/>
        </w:rPr>
        <w:t>47.3</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94.60</w:t>
      </w:r>
      <w:r>
        <w:rPr>
          <w:rFonts w:ascii="仿宋" w:hAnsi="仿宋" w:eastAsia="仿宋"/>
          <w:color w:val="auto"/>
          <w:sz w:val="32"/>
          <w:szCs w:val="32"/>
        </w:rPr>
        <w:t>%</w:t>
      </w:r>
      <w:r>
        <w:rPr>
          <w:rFonts w:hint="eastAsia" w:ascii="仿宋" w:hAnsi="仿宋" w:eastAsia="仿宋"/>
          <w:color w:val="auto"/>
          <w:sz w:val="32"/>
          <w:szCs w:val="32"/>
        </w:rPr>
        <w:t>，决算数小于预算数的主要原因是</w:t>
      </w:r>
      <w:r>
        <w:rPr>
          <w:rFonts w:hint="eastAsia" w:ascii="仿宋" w:hAnsi="仿宋" w:eastAsia="仿宋"/>
          <w:color w:val="auto"/>
          <w:sz w:val="32"/>
          <w:szCs w:val="32"/>
          <w:lang w:val="en-US" w:eastAsia="zh-CN"/>
        </w:rPr>
        <w:t>受疫情影响，公务接待费未完成预算执行</w:t>
      </w:r>
      <w:r>
        <w:rPr>
          <w:rFonts w:hint="eastAsia" w:ascii="仿宋" w:hAnsi="仿宋" w:eastAsia="仿宋"/>
          <w:color w:val="auto"/>
          <w:sz w:val="32"/>
          <w:szCs w:val="32"/>
        </w:rPr>
        <w:t>。</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w:t>
      </w:r>
      <w:r>
        <w:rPr>
          <w:rFonts w:hint="eastAsia" w:ascii="仿宋" w:hAnsi="仿宋" w:eastAsia="仿宋"/>
          <w:b w:val="0"/>
          <w:bCs w:val="0"/>
          <w:color w:val="auto"/>
          <w:sz w:val="32"/>
          <w:szCs w:val="32"/>
        </w:rPr>
        <w:t>因公出国（境）费支出</w:t>
      </w:r>
      <w:r>
        <w:rPr>
          <w:rFonts w:hint="eastAsia" w:ascii="仿宋" w:hAnsi="仿宋" w:eastAsia="仿宋"/>
          <w:b w:val="0"/>
          <w:bCs w:val="0"/>
          <w:color w:val="auto"/>
          <w:sz w:val="32"/>
          <w:szCs w:val="32"/>
          <w:lang w:val="en-US" w:eastAsia="zh-CN"/>
        </w:rPr>
        <w:t>无</w:t>
      </w:r>
      <w:r>
        <w:rPr>
          <w:rFonts w:hint="eastAsia" w:ascii="仿宋" w:hAnsi="仿宋" w:eastAsia="仿宋"/>
          <w:b w:val="0"/>
          <w:bCs w:val="0"/>
          <w:color w:val="auto"/>
          <w:sz w:val="32"/>
          <w:szCs w:val="32"/>
        </w:rPr>
        <w:t>；</w:t>
      </w:r>
      <w:r>
        <w:rPr>
          <w:rFonts w:hint="eastAsia" w:ascii="仿宋" w:hAnsi="仿宋" w:eastAsia="仿宋"/>
          <w:color w:val="auto"/>
          <w:sz w:val="32"/>
          <w:szCs w:val="32"/>
        </w:rPr>
        <w:t>公务用车购置及运行维护费支出决算</w:t>
      </w:r>
      <w:r>
        <w:rPr>
          <w:rFonts w:hint="eastAsia" w:ascii="仿宋" w:hAnsi="仿宋" w:eastAsia="仿宋"/>
          <w:color w:val="auto"/>
          <w:sz w:val="32"/>
          <w:szCs w:val="32"/>
          <w:lang w:val="en-US" w:eastAsia="zh-CN"/>
        </w:rPr>
        <w:t>47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99.37</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0.63</w:t>
      </w:r>
      <w:r>
        <w:rPr>
          <w:rFonts w:ascii="仿宋" w:hAnsi="仿宋" w:eastAsia="仿宋"/>
          <w:color w:val="auto"/>
          <w:sz w:val="32"/>
          <w:szCs w:val="32"/>
        </w:rPr>
        <w:t>%</w:t>
      </w:r>
      <w:r>
        <w:rPr>
          <w:rFonts w:hint="eastAsia" w:ascii="仿宋" w:hAnsi="仿宋" w:eastAsia="仿宋"/>
          <w:color w:val="auto"/>
          <w:sz w:val="32"/>
          <w:szCs w:val="32"/>
        </w:rPr>
        <w:t>。具体情况如下：</w:t>
      </w:r>
    </w:p>
    <w:p>
      <w:pPr>
        <w:pStyle w:val="2"/>
      </w:pPr>
      <w:r>
        <w:drawing>
          <wp:inline distT="0" distB="0" distL="114300" distR="114300">
            <wp:extent cx="4267200" cy="24384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auto"/>
          <w:sz w:val="32"/>
          <w:szCs w:val="32"/>
        </w:rPr>
      </w:pPr>
      <w:r>
        <w:rPr>
          <w:rFonts w:hint="eastAsia" w:ascii="仿宋" w:hAnsi="仿宋" w:eastAsia="仿宋"/>
          <w:color w:val="auto"/>
          <w:sz w:val="32"/>
          <w:szCs w:val="32"/>
        </w:rPr>
        <w:t>（图7：“三公”经费财政拨款支出结构）</w:t>
      </w:r>
    </w:p>
    <w:p>
      <w:pPr>
        <w:numPr>
          <w:ilvl w:val="0"/>
          <w:numId w:val="0"/>
        </w:numPr>
        <w:tabs>
          <w:tab w:val="left" w:pos="6930"/>
        </w:tabs>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因公出国（境）经费支出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预算安排0万元。全年安全因公出国（境）团组0次，出国（境）0人，因公出国（境）支出决算与2019年持平。主要原因是厉行节约。</w:t>
      </w:r>
    </w:p>
    <w:p>
      <w:pPr>
        <w:numPr>
          <w:ilvl w:val="0"/>
          <w:numId w:val="0"/>
        </w:numPr>
        <w:tabs>
          <w:tab w:val="left" w:pos="6930"/>
        </w:tabs>
        <w:spacing w:line="600" w:lineRule="exact"/>
        <w:ind w:firstLine="640" w:firstLineChars="200"/>
        <w:rPr>
          <w:rFonts w:hint="eastAsia" w:ascii="仿宋_GB2312" w:eastAsia="仿宋_GB2312"/>
          <w:b/>
          <w:color w:val="auto"/>
          <w:sz w:val="32"/>
          <w:szCs w:val="32"/>
          <w:lang w:val="en-US" w:eastAsia="zh-CN"/>
        </w:rPr>
      </w:pPr>
      <w:r>
        <w:rPr>
          <w:rFonts w:hint="eastAsia" w:ascii="仿宋" w:hAnsi="仿宋" w:eastAsia="仿宋" w:cs="仿宋"/>
          <w:sz w:val="32"/>
          <w:szCs w:val="32"/>
          <w:lang w:val="en-US" w:eastAsia="zh-CN"/>
        </w:rPr>
        <w:t>开支内容无。</w:t>
      </w:r>
    </w:p>
    <w:p>
      <w:pPr>
        <w:tabs>
          <w:tab w:val="left" w:pos="6930"/>
        </w:tabs>
        <w:spacing w:line="600" w:lineRule="exact"/>
        <w:ind w:firstLine="640"/>
        <w:rPr>
          <w:rFonts w:hint="eastAsia" w:ascii="仿宋_GB2312" w:eastAsia="仿宋_GB2312"/>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47</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2.08</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年我所在三公经费使用上本着勤俭节约，能效优先的原则，严格按照有关办法，控制三公经费的开支。</w:t>
      </w:r>
    </w:p>
    <w:p>
      <w:pPr>
        <w:tabs>
          <w:tab w:val="left" w:pos="6930"/>
        </w:tabs>
        <w:spacing w:line="600" w:lineRule="exact"/>
        <w:ind w:firstLine="640" w:firstLineChars="200"/>
        <w:rPr>
          <w:rFonts w:hint="default" w:ascii="仿宋_GB2312" w:eastAsia="仿宋_GB2312"/>
          <w:b/>
          <w:bCs/>
          <w:color w:val="0070C0"/>
          <w:sz w:val="32"/>
          <w:szCs w:val="32"/>
          <w:highlight w:val="yellow"/>
          <w:lang w:val="en-US" w:eastAsia="zh-CN"/>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0.00</w:t>
      </w:r>
      <w:r>
        <w:rPr>
          <w:rFonts w:hint="eastAsia" w:ascii="仿宋_GB2312" w:eastAsia="仿宋_GB2312"/>
          <w:color w:val="auto"/>
          <w:sz w:val="32"/>
          <w:szCs w:val="32"/>
        </w:rPr>
        <w:t>万元。全年按规定更新购置公务用车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其中：轿车</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辆。</w:t>
      </w:r>
    </w:p>
    <w:p>
      <w:pPr>
        <w:spacing w:line="600" w:lineRule="exact"/>
        <w:ind w:firstLine="640"/>
        <w:rPr>
          <w:rFonts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47</w:t>
      </w:r>
      <w:r>
        <w:rPr>
          <w:rFonts w:hint="eastAsia" w:ascii="仿宋_GB2312" w:eastAsia="仿宋_GB2312"/>
          <w:color w:val="auto"/>
          <w:sz w:val="32"/>
          <w:szCs w:val="32"/>
        </w:rPr>
        <w:t>万元。主要用于</w:t>
      </w:r>
      <w:r>
        <w:rPr>
          <w:rFonts w:hint="eastAsia" w:ascii="仿宋_GB2312" w:eastAsia="仿宋_GB2312"/>
          <w:color w:val="auto"/>
          <w:sz w:val="32"/>
          <w:szCs w:val="32"/>
          <w:lang w:val="en-US" w:eastAsia="zh-CN"/>
        </w:rPr>
        <w:t>执行公务</w:t>
      </w:r>
      <w:r>
        <w:rPr>
          <w:rFonts w:hint="eastAsia" w:ascii="仿宋_GB2312" w:eastAsia="仿宋_GB2312"/>
          <w:color w:val="auto"/>
          <w:sz w:val="32"/>
          <w:szCs w:val="32"/>
        </w:rPr>
        <w:t>所需的公务用车燃料费、维修费、过路过桥费、保险费等支出。</w:t>
      </w:r>
    </w:p>
    <w:p>
      <w:pPr>
        <w:numPr>
          <w:ilvl w:val="0"/>
          <w:numId w:val="0"/>
        </w:numPr>
        <w:spacing w:line="600" w:lineRule="exact"/>
        <w:ind w:firstLine="643" w:firstLineChars="200"/>
        <w:rPr>
          <w:rFonts w:ascii="仿宋_GB2312" w:eastAsia="仿宋_GB2312"/>
          <w:color w:val="auto"/>
          <w:sz w:val="32"/>
          <w:szCs w:val="32"/>
        </w:rPr>
      </w:pPr>
      <w:r>
        <w:rPr>
          <w:rFonts w:hint="eastAsia" w:ascii="仿宋_GB2312" w:eastAsia="仿宋_GB2312"/>
          <w:b/>
          <w:color w:val="auto"/>
          <w:sz w:val="32"/>
          <w:szCs w:val="32"/>
          <w:lang w:val="en-US" w:eastAsia="zh-CN"/>
        </w:rPr>
        <w:t>3.</w:t>
      </w: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0.3</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0.7</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70</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受新冠肺炎疫情影响，</w:t>
      </w:r>
      <w:r>
        <w:rPr>
          <w:rFonts w:hint="eastAsia" w:ascii="仿宋_GB2312" w:eastAsia="仿宋_GB2312"/>
          <w:color w:val="auto"/>
          <w:sz w:val="32"/>
          <w:szCs w:val="32"/>
        </w:rPr>
        <w:t>我所</w:t>
      </w:r>
      <w:r>
        <w:rPr>
          <w:rFonts w:hint="eastAsia" w:ascii="仿宋_GB2312" w:eastAsia="仿宋_GB2312"/>
          <w:color w:val="auto"/>
          <w:sz w:val="32"/>
          <w:szCs w:val="32"/>
          <w:lang w:val="en-US" w:eastAsia="zh-CN"/>
        </w:rPr>
        <w:t>公务接待活动减少。</w:t>
      </w:r>
      <w:r>
        <w:rPr>
          <w:rFonts w:hint="eastAsia" w:ascii="仿宋_GB2312" w:eastAsia="仿宋_GB2312"/>
          <w:color w:val="auto"/>
          <w:sz w:val="32"/>
          <w:szCs w:val="32"/>
        </w:rPr>
        <w:t>其中：</w:t>
      </w:r>
    </w:p>
    <w:p>
      <w:pPr>
        <w:spacing w:line="600" w:lineRule="exact"/>
        <w:ind w:firstLine="640"/>
        <w:rPr>
          <w:rFonts w:hint="eastAsia" w:ascii="仿宋_GB2312" w:eastAsia="仿宋_GB2312"/>
          <w:color w:val="auto"/>
          <w:sz w:val="32"/>
          <w:szCs w:val="32"/>
          <w:lang w:eastAsia="zh-CN"/>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0.7</w:t>
      </w:r>
      <w:r>
        <w:rPr>
          <w:rFonts w:hint="eastAsia" w:ascii="仿宋_GB2312" w:eastAsia="仿宋_GB2312"/>
          <w:color w:val="auto"/>
          <w:sz w:val="32"/>
          <w:szCs w:val="32"/>
        </w:rPr>
        <w:t>万元，</w:t>
      </w:r>
      <w:r>
        <w:rPr>
          <w:rFonts w:hint="eastAsia" w:ascii="宋体" w:hAnsi="宋体" w:eastAsia="仿宋"/>
          <w:color w:val="000000"/>
          <w:sz w:val="32"/>
          <w:szCs w:val="32"/>
        </w:rPr>
        <w:t>主要用于执行公务、开展业务活动开支的交通费、住宿费、用餐费等。</w:t>
      </w:r>
      <w:r>
        <w:rPr>
          <w:rFonts w:hint="eastAsia" w:ascii="仿宋_GB2312" w:eastAsia="仿宋_GB2312"/>
          <w:color w:val="auto"/>
          <w:sz w:val="32"/>
          <w:szCs w:val="32"/>
        </w:rPr>
        <w:t>国内公务接待</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0.3</w:t>
      </w:r>
      <w:r>
        <w:rPr>
          <w:rFonts w:hint="eastAsia" w:ascii="仿宋_GB2312" w:eastAsia="仿宋_GB2312"/>
          <w:color w:val="auto"/>
          <w:sz w:val="32"/>
          <w:szCs w:val="32"/>
        </w:rPr>
        <w:t>万元，</w:t>
      </w:r>
      <w:r>
        <w:rPr>
          <w:rFonts w:hint="eastAsia" w:ascii="宋体" w:hAnsi="宋体" w:eastAsia="仿宋"/>
          <w:color w:val="000000"/>
          <w:sz w:val="32"/>
          <w:szCs w:val="32"/>
        </w:rPr>
        <w:t>具体内容包括：监狱与地方政法部门办理业务协作等。</w:t>
      </w:r>
    </w:p>
    <w:p>
      <w:pPr>
        <w:pStyle w:val="2"/>
        <w:ind w:firstLine="643" w:firstLineChars="200"/>
        <w:rPr>
          <w:rFonts w:hint="eastAsia" w:ascii="仿宋_GB2312" w:eastAsia="仿宋_GB2312"/>
          <w:sz w:val="32"/>
          <w:szCs w:val="32"/>
        </w:rPr>
      </w:pPr>
      <w:bookmarkStart w:id="40" w:name="_Toc15377218"/>
      <w:bookmarkStart w:id="41" w:name="_Toc15396610"/>
      <w:r>
        <w:rPr>
          <w:rFonts w:hint="eastAsia" w:ascii="仿宋" w:hAnsi="仿宋" w:eastAsia="仿宋"/>
          <w:b/>
          <w:sz w:val="32"/>
          <w:szCs w:val="32"/>
        </w:rPr>
        <w:t>外事接待支出</w:t>
      </w:r>
      <w:r>
        <w:rPr>
          <w:rFonts w:hint="eastAsia" w:ascii="仿宋_GB2312" w:eastAsia="仿宋_GB2312"/>
          <w:b/>
          <w:bCs/>
          <w:sz w:val="32"/>
          <w:szCs w:val="32"/>
          <w:lang w:val="en-US" w:eastAsia="zh-CN"/>
        </w:rPr>
        <w:t>0万元</w:t>
      </w:r>
      <w:r>
        <w:rPr>
          <w:rFonts w:hint="eastAsia" w:ascii="仿宋_GB2312" w:eastAsia="仿宋_GB2312"/>
          <w:sz w:val="32"/>
          <w:szCs w:val="32"/>
        </w:rPr>
        <w:t>。</w:t>
      </w:r>
    </w:p>
    <w:p>
      <w:pPr>
        <w:pStyle w:val="2"/>
        <w:rPr>
          <w:rFonts w:hint="eastAsia" w:ascii="仿宋_GB2312" w:eastAsia="仿宋_GB2312"/>
          <w:sz w:val="32"/>
          <w:szCs w:val="32"/>
        </w:rPr>
      </w:pPr>
    </w:p>
    <w:p>
      <w:pPr>
        <w:spacing w:line="600" w:lineRule="exact"/>
        <w:ind w:firstLine="640"/>
        <w:outlineLvl w:val="1"/>
        <w:rPr>
          <w:rStyle w:val="26"/>
          <w:rFonts w:ascii="黑体" w:hAnsi="黑体" w:eastAsia="黑体"/>
          <w:color w:val="auto"/>
        </w:rPr>
      </w:pPr>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无</w:t>
      </w:r>
      <w:r>
        <w:rPr>
          <w:rFonts w:hint="eastAsia" w:ascii="仿宋_GB2312" w:eastAsia="仿宋_GB2312"/>
          <w:color w:val="auto"/>
          <w:sz w:val="32"/>
          <w:szCs w:val="32"/>
        </w:rPr>
        <w:t>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p>
    <w:p>
      <w:pPr>
        <w:spacing w:line="600" w:lineRule="exact"/>
        <w:ind w:firstLine="640"/>
        <w:rPr>
          <w:rFonts w:ascii="仿宋_GB2312" w:eastAsia="仿宋_GB2312"/>
          <w:color w:val="auto"/>
          <w:sz w:val="32"/>
          <w:szCs w:val="32"/>
        </w:rPr>
      </w:pPr>
    </w:p>
    <w:p>
      <w:pPr>
        <w:numPr>
          <w:ilvl w:val="0"/>
          <w:numId w:val="2"/>
        </w:numPr>
        <w:spacing w:line="600" w:lineRule="exact"/>
        <w:ind w:firstLine="640"/>
        <w:outlineLvl w:val="1"/>
        <w:rPr>
          <w:rStyle w:val="26"/>
          <w:rFonts w:ascii="黑体" w:hAnsi="黑体" w:eastAsia="黑体"/>
          <w:b w:val="0"/>
          <w:color w:val="auto"/>
        </w:rPr>
      </w:pPr>
      <w:bookmarkStart w:id="42" w:name="_Toc15377219"/>
      <w:bookmarkStart w:id="43" w:name="_Toc15396611"/>
      <w:r>
        <w:rPr>
          <w:rStyle w:val="26"/>
          <w:rFonts w:hint="eastAsia" w:ascii="黑体" w:hAnsi="黑体" w:eastAsia="黑体"/>
          <w:b w:val="0"/>
          <w:color w:val="auto"/>
        </w:rPr>
        <w:t>国有资本经营预算支出决算情况说明</w:t>
      </w:r>
      <w:bookmarkEnd w:id="42"/>
      <w:bookmarkEnd w:id="43"/>
    </w:p>
    <w:p>
      <w:pPr>
        <w:spacing w:line="600" w:lineRule="exact"/>
        <w:ind w:firstLine="640"/>
        <w:rPr>
          <w:rFonts w:hint="eastAsia" w:ascii="仿宋_GB2312" w:eastAsia="仿宋_GB2312"/>
          <w:color w:val="auto"/>
          <w:sz w:val="32"/>
          <w:szCs w:val="32"/>
          <w:lang w:val="en-US"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7.85</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spacing w:line="580" w:lineRule="exact"/>
        <w:jc w:val="center"/>
        <w:rPr>
          <w:rFonts w:ascii="方正小标宋简体" w:hAnsi="方正小标宋简体" w:eastAsia="方正小标宋简体" w:cs="方正小标宋简体"/>
          <w:color w:val="auto"/>
          <w:sz w:val="44"/>
          <w:szCs w:val="44"/>
        </w:rPr>
      </w:pPr>
    </w:p>
    <w:p>
      <w:pPr>
        <w:numPr>
          <w:ilvl w:val="0"/>
          <w:numId w:val="2"/>
        </w:numPr>
        <w:spacing w:line="600" w:lineRule="exact"/>
        <w:ind w:firstLine="640"/>
        <w:outlineLvl w:val="1"/>
        <w:rPr>
          <w:rStyle w:val="26"/>
          <w:rFonts w:hint="eastAsia" w:ascii="黑体" w:hAnsi="黑体" w:eastAsia="黑体"/>
          <w:b w:val="0"/>
          <w:color w:val="auto"/>
        </w:rPr>
      </w:pPr>
      <w:bookmarkStart w:id="44" w:name="_Toc15396612"/>
      <w:bookmarkStart w:id="45" w:name="_Toc15377221"/>
      <w:r>
        <w:rPr>
          <w:rStyle w:val="26"/>
          <w:rFonts w:hint="eastAsia" w:ascii="黑体" w:hAnsi="黑体" w:eastAsia="黑体"/>
          <w:b w:val="0"/>
          <w:color w:val="auto"/>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tabs>
          <w:tab w:val="left" w:pos="6930"/>
        </w:tabs>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成都未管所</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785.56</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24.15</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3.07</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2020年在职人数较2019年人员减少。</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7" w:name="_Toc15377223"/>
      <w:r>
        <w:rPr>
          <w:rFonts w:hint="eastAsia" w:ascii="仿宋" w:hAnsi="仿宋" w:eastAsia="仿宋"/>
          <w:b/>
          <w:color w:val="auto"/>
          <w:sz w:val="32"/>
          <w:szCs w:val="32"/>
        </w:rPr>
        <w:t>（二）政府采购支出情况</w:t>
      </w:r>
      <w:bookmarkEnd w:id="47"/>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成都未管所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2447.51</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1821.73</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581.78</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44</w:t>
      </w:r>
      <w:r>
        <w:rPr>
          <w:rFonts w:hint="eastAsia" w:ascii="仿宋_GB2312" w:eastAsia="仿宋_GB2312"/>
          <w:color w:val="auto"/>
          <w:sz w:val="32"/>
          <w:szCs w:val="32"/>
        </w:rPr>
        <w:t>万元。</w:t>
      </w:r>
      <w:r>
        <w:rPr>
          <w:rFonts w:hint="eastAsia" w:ascii="宋体" w:hAnsi="宋体" w:eastAsia="仿宋"/>
          <w:color w:val="000000"/>
          <w:sz w:val="32"/>
          <w:szCs w:val="32"/>
        </w:rPr>
        <w:t>主要</w:t>
      </w:r>
      <w:r>
        <w:rPr>
          <w:rFonts w:hint="eastAsia" w:ascii="宋体" w:hAnsi="宋体" w:eastAsia="仿宋"/>
          <w:color w:val="000000"/>
          <w:sz w:val="32"/>
          <w:szCs w:val="32"/>
          <w:lang w:val="en-US" w:eastAsia="zh-CN"/>
        </w:rPr>
        <w:t>用于监狱监控安防建设等</w:t>
      </w:r>
      <w:r>
        <w:rPr>
          <w:rFonts w:hint="eastAsia" w:ascii="宋体" w:hAnsi="宋体" w:eastAsia="仿宋"/>
          <w:color w:val="000000"/>
          <w:sz w:val="32"/>
          <w:szCs w:val="32"/>
        </w:rPr>
        <w:t>。</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336.36</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13.74</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spacing w:line="600" w:lineRule="exact"/>
        <w:ind w:firstLine="643" w:firstLineChars="200"/>
        <w:rPr>
          <w:rFonts w:ascii="仿宋" w:hAnsi="仿宋" w:eastAsia="仿宋"/>
          <w:b/>
          <w:color w:val="FF0000"/>
          <w:sz w:val="32"/>
          <w:szCs w:val="32"/>
        </w:rPr>
      </w:pPr>
      <w:bookmarkStart w:id="48" w:name="_Toc15377224"/>
      <w:r>
        <w:rPr>
          <w:rFonts w:hint="eastAsia" w:ascii="仿宋" w:hAnsi="仿宋" w:eastAsia="仿宋"/>
          <w:b/>
          <w:color w:val="auto"/>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成都未管所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辆，其中：机要通信用车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宋体" w:hAnsi="宋体" w:eastAsia="仿宋"/>
          <w:color w:val="000000"/>
          <w:sz w:val="32"/>
          <w:szCs w:val="32"/>
          <w:lang w:val="en-US" w:eastAsia="zh-CN"/>
        </w:rPr>
        <w:t>执法执勤用车15辆、特种专业技术用车0辆、离退休干部用车6辆、</w:t>
      </w:r>
      <w:r>
        <w:rPr>
          <w:rFonts w:hint="eastAsia" w:ascii="仿宋_GB2312" w:eastAsia="仿宋_GB2312"/>
          <w:color w:val="auto"/>
          <w:sz w:val="32"/>
          <w:szCs w:val="32"/>
        </w:rPr>
        <w:t>其他用车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b w:val="0"/>
          <w:bCs w:val="0"/>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val="en-US" w:eastAsia="zh-CN"/>
        </w:rPr>
        <w:t>一般公务。</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根据预算绩效管理要求，本单位在</w:t>
      </w: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rPr>
        <w:t>预算编制阶段，</w:t>
      </w:r>
      <w:r>
        <w:rPr>
          <w:rFonts w:hint="eastAsia" w:ascii="仿宋_GB2312" w:hAnsi="仿宋_GB2312" w:eastAsia="仿宋_GB2312" w:cs="仿宋_GB2312"/>
          <w:sz w:val="32"/>
          <w:szCs w:val="32"/>
        </w:rPr>
        <w:t>组织对0个项目开展了预算事前绩效评估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预算执行过程中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年终执行完毕后，</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w:t>
      </w:r>
      <w:r>
        <w:rPr>
          <w:rFonts w:hint="eastAsia" w:ascii="仿宋_GB2312" w:hAnsi="仿宋_GB2312" w:eastAsia="仿宋_GB2312" w:cs="仿宋_GB2312"/>
          <w:color w:val="auto"/>
          <w:sz w:val="32"/>
          <w:szCs w:val="32"/>
        </w:rPr>
        <w:t>。因项目内容涉密（敏感），不予主动公开。</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年整体支出开展绩效自评，</w:t>
      </w:r>
      <w:r>
        <w:rPr>
          <w:rFonts w:hint="eastAsia" w:ascii="宋体" w:hAnsi="宋体" w:eastAsia="仿宋" w:cs="仿宋_GB2312"/>
          <w:sz w:val="32"/>
          <w:szCs w:val="32"/>
        </w:rPr>
        <w:t>从评价情况来看</w:t>
      </w:r>
      <w:r>
        <w:rPr>
          <w:rFonts w:hint="eastAsia" w:ascii="宋体" w:hAnsi="宋体" w:eastAsia="仿宋" w:cs="仿宋_GB2312"/>
          <w:sz w:val="32"/>
          <w:szCs w:val="32"/>
          <w:lang w:eastAsia="zh-CN"/>
        </w:rPr>
        <w:t>，</w:t>
      </w:r>
      <w:r>
        <w:rPr>
          <w:rFonts w:hint="eastAsia" w:ascii="宋体" w:hAnsi="宋体" w:eastAsia="仿宋" w:cs="仿宋_GB2312"/>
          <w:sz w:val="32"/>
          <w:szCs w:val="32"/>
          <w:lang w:val="en-US" w:eastAsia="zh-CN"/>
        </w:rPr>
        <w:t>本单位预算整体支出绩效的效果性、经济性和效率性得到很大提升</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无专项预算项目，因此未组织开展项目支出绩效评价。</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1.项目绩效目标完成情况。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成都未管所的</w:t>
      </w:r>
      <w:r>
        <w:rPr>
          <w:rFonts w:hint="eastAsia" w:ascii="仿宋_GB2312" w:hAnsi="仿宋_GB2312" w:eastAsia="仿宋_GB2312" w:cs="仿宋_GB2312"/>
          <w:color w:val="auto"/>
          <w:sz w:val="32"/>
          <w:szCs w:val="32"/>
        </w:rPr>
        <w:t>项目按要求</w:t>
      </w:r>
      <w:r>
        <w:rPr>
          <w:rFonts w:hint="eastAsia" w:ascii="仿宋_GB2312" w:hAnsi="仿宋_GB2312" w:eastAsia="仿宋_GB2312" w:cs="仿宋_GB2312"/>
          <w:color w:val="auto"/>
          <w:sz w:val="32"/>
          <w:szCs w:val="32"/>
          <w:lang w:val="en-US" w:eastAsia="zh-CN"/>
        </w:rPr>
        <w:t>完成</w:t>
      </w:r>
      <w:r>
        <w:rPr>
          <w:rFonts w:hint="eastAsia" w:ascii="仿宋_GB2312" w:hAnsi="仿宋_GB2312" w:eastAsia="仿宋_GB2312" w:cs="仿宋_GB2312"/>
          <w:color w:val="auto"/>
          <w:sz w:val="32"/>
          <w:szCs w:val="32"/>
        </w:rPr>
        <w:t>了绩效目标，因项目内容涉密（敏感），不予主动公开</w:t>
      </w:r>
      <w:r>
        <w:rPr>
          <w:rFonts w:hint="eastAsia" w:ascii="仿宋_GB2312" w:hAnsi="仿宋_GB2312" w:eastAsia="仿宋_GB2312" w:cs="仿宋_GB2312"/>
          <w:color w:val="auto"/>
          <w:sz w:val="32"/>
          <w:szCs w:val="32"/>
          <w:lang w:eastAsia="zh-CN"/>
        </w:rPr>
        <w:t>。</w:t>
      </w:r>
    </w:p>
    <w:p>
      <w:pPr>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成都未管所按要求进行了绩效自评</w:t>
      </w:r>
      <w:r>
        <w:rPr>
          <w:rFonts w:hint="eastAsia" w:ascii="仿宋_GB2312" w:hAnsi="仿宋_GB2312" w:eastAsia="仿宋_GB2312" w:cs="仿宋_GB2312"/>
          <w:color w:val="auto"/>
          <w:sz w:val="32"/>
          <w:szCs w:val="32"/>
        </w:rPr>
        <w:t>，因内容涉密（敏感），不予主动公开。</w:t>
      </w:r>
    </w:p>
    <w:p>
      <w:pPr>
        <w:spacing w:line="580" w:lineRule="exact"/>
        <w:ind w:firstLine="643" w:firstLineChars="200"/>
        <w:rPr>
          <w:rFonts w:ascii="仿宋_GB2312" w:eastAsia="仿宋_GB2312"/>
          <w:b/>
          <w:color w:val="auto"/>
          <w:sz w:val="32"/>
          <w:szCs w:val="32"/>
        </w:rPr>
      </w:pP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bookmarkStart w:id="51" w:name="_Toc15377226"/>
      <w:r>
        <w:rPr>
          <w:rFonts w:hint="eastAsia" w:ascii="仿宋_GB2312" w:hAnsi="仿宋_GB2312" w:eastAsia="仿宋_GB2312" w:cs="仿宋_GB2312"/>
          <w:color w:val="auto"/>
          <w:sz w:val="32"/>
          <w:szCs w:val="32"/>
          <w:lang w:eastAsia="zh-CN"/>
        </w:rPr>
        <w:t xml:space="preserve">1、财政拨款收入：指省级财政当年拨付的资金。 </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、其他收入：指除上述“财政拨款收入”、“经营收入”等以外的收入。</w:t>
      </w:r>
      <w:r>
        <w:rPr>
          <w:rFonts w:hint="eastAsia" w:ascii="仿宋_GB2312" w:hAnsi="仿宋_GB2312" w:eastAsia="仿宋_GB2312" w:cs="仿宋_GB2312"/>
          <w:color w:val="auto"/>
          <w:sz w:val="32"/>
          <w:szCs w:val="32"/>
          <w:lang w:val="en-US" w:eastAsia="zh-CN"/>
        </w:rPr>
        <w:t>主要包括省卫健委</w:t>
      </w:r>
      <w:r>
        <w:rPr>
          <w:rFonts w:hint="eastAsia" w:ascii="仿宋_GB2312" w:hAnsi="仿宋_GB2312" w:eastAsia="仿宋_GB2312" w:cs="仿宋_GB2312"/>
          <w:color w:val="auto"/>
          <w:sz w:val="32"/>
          <w:szCs w:val="32"/>
          <w:lang w:eastAsia="zh-CN"/>
        </w:rPr>
        <w:t>拨入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离休干部医药费</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 xml:space="preserve">。 </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 xml:space="preserve">、年初结转和结余：指以前年度尚未完成、结转到本年按有关规定继续使用的资金。 </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公共安全支出：监狱行政运行（2040701），反映行政单位(包括实行公务员管理的事业单位）的基本支出；监狱一般行政管理事务（2040702），反映行政单位(包括实行公务员管理的事业单位）未单独设置项级科目的其他项目支出；</w:t>
      </w:r>
      <w:r>
        <w:rPr>
          <w:rFonts w:hint="eastAsia" w:ascii="仿宋_GB2312" w:hAnsi="仿宋_GB2312" w:eastAsia="仿宋_GB2312" w:cs="仿宋_GB2312"/>
          <w:color w:val="auto"/>
          <w:sz w:val="32"/>
          <w:szCs w:val="32"/>
          <w:lang w:val="en-US" w:eastAsia="zh-CN"/>
        </w:rPr>
        <w:t>机关服务（2040703），反映行政单位（包括实行公务员管理的事业单位）提供后勤服务的各类后勤服务中心、医务室等附属事业单位的支出；</w:t>
      </w:r>
      <w:r>
        <w:rPr>
          <w:rFonts w:hint="eastAsia" w:ascii="仿宋_GB2312" w:hAnsi="仿宋_GB2312" w:eastAsia="仿宋_GB2312" w:cs="仿宋_GB2312"/>
          <w:color w:val="auto"/>
          <w:sz w:val="32"/>
          <w:szCs w:val="32"/>
          <w:lang w:eastAsia="zh-CN"/>
        </w:rPr>
        <w:t>其他公共安全支出（</w:t>
      </w:r>
      <w:r>
        <w:rPr>
          <w:rFonts w:hint="eastAsia" w:ascii="仿宋_GB2312" w:hAnsi="仿宋_GB2312" w:eastAsia="仿宋_GB2312" w:cs="仿宋_GB2312"/>
          <w:color w:val="auto"/>
          <w:sz w:val="32"/>
          <w:szCs w:val="32"/>
          <w:lang w:val="en-US" w:eastAsia="zh-CN"/>
        </w:rPr>
        <w:t>2049901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反映其他用于公共安全方面的支出</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5、教育支出：培训支出（2050803），反映各部门安排的用于培训的支出。</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社会保障和就业</w:t>
      </w:r>
      <w:r>
        <w:rPr>
          <w:rFonts w:hint="eastAsia" w:ascii="仿宋_GB2312" w:hAnsi="仿宋_GB2312" w:eastAsia="仿宋_GB2312" w:cs="仿宋_GB2312"/>
          <w:color w:val="auto"/>
          <w:sz w:val="32"/>
          <w:szCs w:val="32"/>
          <w:lang w:val="en-US" w:eastAsia="zh-CN"/>
        </w:rPr>
        <w:t>支出</w:t>
      </w:r>
      <w:r>
        <w:rPr>
          <w:rFonts w:hint="eastAsia" w:ascii="仿宋_GB2312" w:hAnsi="仿宋_GB2312" w:eastAsia="仿宋_GB2312" w:cs="仿宋_GB2312"/>
          <w:color w:val="auto"/>
          <w:sz w:val="32"/>
          <w:szCs w:val="32"/>
          <w:lang w:eastAsia="zh-CN"/>
        </w:rPr>
        <w:t>:行政单位离退休（208050</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），反映行政单位开支的离退休</w:t>
      </w:r>
      <w:r>
        <w:rPr>
          <w:rFonts w:hint="eastAsia" w:ascii="仿宋_GB2312" w:hAnsi="仿宋_GB2312" w:eastAsia="仿宋_GB2312" w:cs="仿宋_GB2312"/>
          <w:color w:val="auto"/>
          <w:sz w:val="32"/>
          <w:szCs w:val="32"/>
          <w:lang w:val="en-US" w:eastAsia="zh-CN"/>
        </w:rPr>
        <w:t>经费</w:t>
      </w:r>
      <w:r>
        <w:rPr>
          <w:rFonts w:hint="eastAsia" w:ascii="仿宋_GB2312" w:hAnsi="仿宋_GB2312" w:eastAsia="仿宋_GB2312" w:cs="仿宋_GB2312"/>
          <w:color w:val="auto"/>
          <w:sz w:val="32"/>
          <w:szCs w:val="32"/>
          <w:lang w:eastAsia="zh-CN"/>
        </w:rPr>
        <w:t>；事业单位离退休（2080502），反映事业单位开支的离退休经费；机关事业单位基本养老保险缴费支出（2080505），反映机关事业单位实施养老保险制度由单位缴纳的基本养老保险费支出；机关事业单位职业年金缴费支出（</w:t>
      </w:r>
      <w:r>
        <w:rPr>
          <w:rFonts w:hint="eastAsia" w:ascii="仿宋_GB2312" w:hAnsi="仿宋_GB2312" w:eastAsia="仿宋_GB2312" w:cs="仿宋_GB2312"/>
          <w:color w:val="auto"/>
          <w:sz w:val="32"/>
          <w:szCs w:val="32"/>
          <w:lang w:val="en-US" w:eastAsia="zh-CN"/>
        </w:rPr>
        <w:t>2080506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反映机关事业单位实施养老保险制度由单位实际缴纳的职业年金支出。</w:t>
      </w:r>
      <w:r>
        <w:rPr>
          <w:rFonts w:hint="eastAsia" w:ascii="仿宋_GB2312" w:hAnsi="仿宋_GB2312" w:eastAsia="仿宋_GB2312" w:cs="仿宋_GB2312"/>
          <w:color w:val="auto"/>
          <w:sz w:val="32"/>
          <w:szCs w:val="32"/>
          <w:lang w:eastAsia="zh-CN"/>
        </w:rPr>
        <w:t>死亡抚恤（2080801），反映按规定用于烈士和牺牲、病故人员家属的一次性定期抚恤金以及丧葬补助费；其他社会保障和就业支出（2089901），反映除上述项目以外其他用于社会保障和就业方面的支出。</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7、卫生健康支出</w:t>
      </w:r>
      <w:r>
        <w:rPr>
          <w:rFonts w:hint="eastAsia" w:ascii="仿宋_GB2312" w:hAnsi="仿宋_GB2312" w:eastAsia="仿宋_GB2312" w:cs="仿宋_GB2312"/>
          <w:color w:val="auto"/>
          <w:sz w:val="32"/>
          <w:szCs w:val="32"/>
          <w:lang w:eastAsia="zh-CN"/>
        </w:rPr>
        <w:t>:重大公共卫生</w:t>
      </w:r>
      <w:r>
        <w:rPr>
          <w:rFonts w:hint="eastAsia" w:ascii="仿宋_GB2312" w:hAnsi="仿宋_GB2312" w:eastAsia="仿宋_GB2312" w:cs="仿宋_GB2312"/>
          <w:color w:val="auto"/>
          <w:sz w:val="32"/>
          <w:szCs w:val="32"/>
          <w:lang w:val="en-US" w:eastAsia="zh-CN"/>
        </w:rPr>
        <w:t>服务</w:t>
      </w:r>
      <w:r>
        <w:rPr>
          <w:rFonts w:hint="eastAsia" w:ascii="仿宋_GB2312" w:hAnsi="仿宋_GB2312" w:eastAsia="仿宋_GB2312" w:cs="仿宋_GB2312"/>
          <w:color w:val="auto"/>
          <w:sz w:val="32"/>
          <w:szCs w:val="32"/>
          <w:lang w:eastAsia="zh-CN"/>
        </w:rPr>
        <w:t>（2100409），反映重大疾病、</w:t>
      </w:r>
      <w:r>
        <w:rPr>
          <w:rFonts w:hint="eastAsia" w:ascii="仿宋_GB2312" w:hAnsi="仿宋_GB2312" w:eastAsia="仿宋_GB2312" w:cs="仿宋_GB2312"/>
          <w:color w:val="auto"/>
          <w:sz w:val="32"/>
          <w:szCs w:val="32"/>
          <w:lang w:val="en-US" w:eastAsia="zh-CN"/>
        </w:rPr>
        <w:t>重大传染病</w:t>
      </w:r>
      <w:r>
        <w:rPr>
          <w:rFonts w:hint="eastAsia" w:ascii="仿宋_GB2312" w:hAnsi="仿宋_GB2312" w:eastAsia="仿宋_GB2312" w:cs="仿宋_GB2312"/>
          <w:color w:val="auto"/>
          <w:sz w:val="32"/>
          <w:szCs w:val="32"/>
          <w:lang w:eastAsia="zh-CN"/>
        </w:rPr>
        <w:t>预防控制等重大公共卫生服务项目支出；行政单位医疗（210</w:t>
      </w:r>
      <w:r>
        <w:rPr>
          <w:rFonts w:hint="eastAsia" w:ascii="仿宋_GB2312" w:hAnsi="仿宋_GB2312" w:eastAsia="仿宋_GB2312" w:cs="仿宋_GB2312"/>
          <w:color w:val="auto"/>
          <w:sz w:val="32"/>
          <w:szCs w:val="32"/>
          <w:lang w:val="en-US" w:eastAsia="zh-CN"/>
        </w:rPr>
        <w:t>1101</w:t>
      </w:r>
      <w:r>
        <w:rPr>
          <w:rFonts w:hint="eastAsia" w:ascii="仿宋_GB2312" w:hAnsi="仿宋_GB2312" w:eastAsia="仿宋_GB2312" w:cs="仿宋_GB2312"/>
          <w:color w:val="auto"/>
          <w:sz w:val="32"/>
          <w:szCs w:val="32"/>
          <w:lang w:eastAsia="zh-CN"/>
        </w:rPr>
        <w:t>），反应财政部门安排的行政单位基本医疗保险缴费经费，未参加医疗保险的行政单位的公费医疗经费，按国家规定享受离休人员、红军老战士待遇人员的医疗经费；事业单位医疗（210</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02），反应财政部门安排的事业单位</w:t>
      </w:r>
      <w:r>
        <w:rPr>
          <w:rFonts w:hint="eastAsia" w:ascii="仿宋_GB2312" w:hAnsi="仿宋_GB2312" w:eastAsia="仿宋_GB2312" w:cs="仿宋_GB2312"/>
          <w:color w:val="auto"/>
          <w:sz w:val="32"/>
          <w:szCs w:val="32"/>
          <w:lang w:val="en-US" w:eastAsia="zh-CN"/>
        </w:rPr>
        <w:t>基本</w:t>
      </w:r>
      <w:r>
        <w:rPr>
          <w:rFonts w:hint="eastAsia" w:ascii="仿宋_GB2312" w:hAnsi="仿宋_GB2312" w:eastAsia="仿宋_GB2312" w:cs="仿宋_GB2312"/>
          <w:color w:val="auto"/>
          <w:sz w:val="32"/>
          <w:szCs w:val="32"/>
          <w:lang w:eastAsia="zh-CN"/>
        </w:rPr>
        <w:t>医疗保险缴费经费，未参加医疗保险的事业单位的公费医疗经费，按国家规定享受离休人员待遇的医疗经费；公务员医疗补助（210</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03），反应财政部门安排的公务员医疗补助经费。</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住房保障支出：住房公积金（2210201），反映行政事业单位按人力资源和社会保障部、财政部规定的基本工资和津补贴以及规定比例为职工缴纳的住房公积金；购房补贴（2210203），反映按房改政策规定，行政事业单位向符合条件职工（含离退休人员）、军队（含武警）向转役复员离退休人员发放的用于购买住房的补贴。</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年末结转和结余：指本年度或以前年度预算安排、因客观条件发生变化无法按原计划实施，需延迟到以后年度按有关规定继续使用的资金。</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基本支出：指为保障机构正常运转、完成日常工作任务而发生的人员支出和公用支出。</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 xml:space="preserve">项目支出：指在基本支出之外为完成特定行政任务和事业发展目标所发生的支出。 </w:t>
      </w:r>
    </w:p>
    <w:p>
      <w:pPr>
        <w:keepNext w:val="0"/>
        <w:keepLines w:val="0"/>
        <w:pageBreakBefore w:val="0"/>
        <w:kinsoku/>
        <w:wordWrap/>
        <w:overflowPunct/>
        <w:topLinePunct w:val="0"/>
        <w:autoSpaceDE/>
        <w:autoSpaceDN/>
        <w:bidi w:val="0"/>
        <w:snapToGrid/>
        <w:spacing w:line="580"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rPr>
          <w:rFonts w:ascii="宋体" w:hAnsi="宋体" w:eastAsia="宋体" w:cs="Times New Roman"/>
          <w:color w:val="auto"/>
          <w:kern w:val="2"/>
          <w:sz w:val="32"/>
          <w:szCs w:val="32"/>
          <w:lang w:val="zh-CN" w:eastAsia="zh-CN" w:bidi="ar-SA"/>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color w:val="000000"/>
          <w:sz w:val="44"/>
          <w:szCs w:val="44"/>
        </w:rPr>
        <w:br w:type="page"/>
      </w:r>
    </w:p>
    <w:p>
      <w:pPr>
        <w:spacing w:line="600" w:lineRule="exact"/>
        <w:jc w:val="center"/>
        <w:outlineLvl w:val="0"/>
        <w:rPr>
          <w:rFonts w:hint="eastAsia" w:ascii="仿宋" w:hAnsi="仿宋" w:eastAsia="仿宋"/>
          <w:b w:val="0"/>
          <w:color w:val="000000"/>
        </w:rPr>
      </w:pPr>
      <w:bookmarkStart w:id="52" w:name="_Toc15396618"/>
      <w:r>
        <w:rPr>
          <w:rFonts w:hint="eastAsia" w:ascii="黑体" w:hAnsi="黑体" w:eastAsia="黑体"/>
          <w:color w:val="000000"/>
          <w:sz w:val="44"/>
          <w:szCs w:val="44"/>
        </w:rPr>
        <w:t>第</w:t>
      </w:r>
      <w:r>
        <w:rPr>
          <w:rFonts w:hint="eastAsia" w:ascii="黑体" w:hAnsi="黑体" w:eastAsia="黑体"/>
          <w:color w:val="000000"/>
          <w:sz w:val="44"/>
          <w:szCs w:val="44"/>
          <w:lang w:val="en-US" w:eastAsia="zh-CN"/>
        </w:rPr>
        <w:t>四</w:t>
      </w:r>
      <w:r>
        <w:rPr>
          <w:rStyle w:val="25"/>
          <w:rFonts w:hint="eastAsia" w:ascii="黑体" w:hAnsi="黑体" w:eastAsia="黑体"/>
          <w:b w:val="0"/>
        </w:rPr>
        <w:t>部分 附表</w:t>
      </w:r>
      <w:bookmarkEnd w:id="51"/>
      <w:bookmarkEnd w:id="52"/>
      <w:bookmarkStart w:id="53" w:name="_Toc15396619"/>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bookmarkEnd w:id="53"/>
    </w:p>
    <w:p>
      <w:pPr>
        <w:pStyle w:val="4"/>
        <w:rPr>
          <w:rFonts w:ascii="仿宋" w:hAnsi="仿宋" w:eastAsia="仿宋"/>
          <w:color w:val="000000"/>
        </w:rPr>
      </w:pPr>
      <w:bookmarkStart w:id="54"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4"/>
    </w:p>
    <w:p>
      <w:pPr>
        <w:pStyle w:val="4"/>
        <w:rPr>
          <w:rFonts w:ascii="仿宋" w:hAnsi="仿宋" w:eastAsia="仿宋"/>
          <w:color w:val="000000"/>
        </w:rPr>
      </w:pPr>
      <w:bookmarkStart w:id="5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5"/>
    </w:p>
    <w:p>
      <w:pPr>
        <w:pStyle w:val="4"/>
        <w:rPr>
          <w:rFonts w:ascii="仿宋" w:hAnsi="仿宋" w:eastAsia="仿宋"/>
          <w:b w:val="0"/>
          <w:color w:val="000000"/>
        </w:rPr>
      </w:pPr>
      <w:bookmarkStart w:id="5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6"/>
    </w:p>
    <w:p>
      <w:pPr>
        <w:pStyle w:val="4"/>
        <w:rPr>
          <w:rStyle w:val="26"/>
          <w:rFonts w:hint="eastAsia" w:ascii="仿宋" w:hAnsi="仿宋" w:eastAsia="仿宋"/>
          <w:b/>
          <w:bCs/>
          <w:color w:val="FF0000"/>
          <w:lang w:eastAsia="zh-CN"/>
        </w:rPr>
      </w:pPr>
      <w:bookmarkStart w:id="57" w:name="_Toc15396623"/>
      <w:r>
        <w:rPr>
          <w:rStyle w:val="26"/>
          <w:rFonts w:hint="eastAsia" w:ascii="仿宋" w:hAnsi="仿宋" w:eastAsia="仿宋"/>
          <w:b w:val="0"/>
          <w:bCs w:val="0"/>
          <w:color w:val="auto"/>
        </w:rPr>
        <w:t>五、</w:t>
      </w:r>
      <w:r>
        <w:rPr>
          <w:rFonts w:hint="eastAsia" w:ascii="仿宋" w:hAnsi="仿宋" w:eastAsia="仿宋"/>
          <w:b w:val="0"/>
          <w:bCs w:val="0"/>
          <w:color w:val="auto"/>
        </w:rPr>
        <w:t>财</w:t>
      </w:r>
      <w:r>
        <w:rPr>
          <w:rStyle w:val="26"/>
          <w:rFonts w:hint="eastAsia" w:ascii="仿宋" w:hAnsi="仿宋" w:eastAsia="仿宋"/>
          <w:b w:val="0"/>
          <w:bCs w:val="0"/>
          <w:color w:val="auto"/>
        </w:rPr>
        <w:t>政拨款支出决算明细表</w:t>
      </w:r>
      <w:bookmarkEnd w:id="57"/>
      <w:bookmarkStart w:id="58"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8"/>
    </w:p>
    <w:p>
      <w:pPr>
        <w:pStyle w:val="4"/>
        <w:rPr>
          <w:rFonts w:ascii="仿宋" w:hAnsi="仿宋" w:eastAsia="仿宋"/>
          <w:color w:val="000000"/>
        </w:rPr>
      </w:pPr>
      <w:bookmarkStart w:id="5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59"/>
    </w:p>
    <w:p>
      <w:pPr>
        <w:pStyle w:val="4"/>
        <w:rPr>
          <w:rFonts w:ascii="仿宋" w:hAnsi="仿宋" w:eastAsia="仿宋"/>
          <w:color w:val="000000"/>
        </w:rPr>
      </w:pPr>
      <w:bookmarkStart w:id="6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0"/>
    </w:p>
    <w:p>
      <w:pPr>
        <w:pStyle w:val="4"/>
        <w:rPr>
          <w:rFonts w:ascii="仿宋" w:hAnsi="仿宋" w:eastAsia="仿宋"/>
          <w:color w:val="000000"/>
        </w:rPr>
      </w:pPr>
      <w:bookmarkStart w:id="6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1"/>
    </w:p>
    <w:p>
      <w:pPr>
        <w:pStyle w:val="4"/>
        <w:rPr>
          <w:rFonts w:ascii="仿宋" w:hAnsi="仿宋" w:eastAsia="仿宋"/>
          <w:color w:val="000000"/>
        </w:rPr>
      </w:pPr>
      <w:bookmarkStart w:id="6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2"/>
    </w:p>
    <w:p>
      <w:pPr>
        <w:pStyle w:val="4"/>
        <w:rPr>
          <w:rFonts w:ascii="仿宋" w:hAnsi="仿宋" w:eastAsia="仿宋"/>
          <w:color w:val="000000"/>
        </w:rPr>
      </w:pPr>
      <w:bookmarkStart w:id="6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3"/>
    </w:p>
    <w:p>
      <w:pPr>
        <w:pStyle w:val="4"/>
        <w:rPr>
          <w:rFonts w:ascii="仿宋" w:hAnsi="仿宋" w:eastAsia="仿宋"/>
          <w:color w:val="000000"/>
        </w:rPr>
      </w:pPr>
      <w:bookmarkStart w:id="6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4"/>
    </w:p>
    <w:p>
      <w:pPr>
        <w:pStyle w:val="4"/>
        <w:rPr>
          <w:rStyle w:val="26"/>
          <w:rFonts w:hint="eastAsia" w:ascii="仿宋" w:hAnsi="仿宋" w:eastAsia="仿宋"/>
          <w:b/>
          <w:bCs/>
          <w:color w:val="FF0000"/>
          <w:lang w:eastAsia="zh-CN"/>
        </w:rPr>
      </w:pPr>
      <w:bookmarkStart w:id="65" w:name="_Toc15396631"/>
      <w:r>
        <w:rPr>
          <w:rStyle w:val="26"/>
          <w:rFonts w:hint="eastAsia" w:ascii="仿宋" w:hAnsi="仿宋" w:eastAsia="仿宋"/>
          <w:b w:val="0"/>
          <w:bCs w:val="0"/>
          <w:color w:val="auto"/>
        </w:rPr>
        <w:t>十三、</w:t>
      </w:r>
      <w:r>
        <w:rPr>
          <w:rFonts w:hint="eastAsia" w:ascii="仿宋" w:hAnsi="仿宋" w:eastAsia="仿宋"/>
          <w:b w:val="0"/>
          <w:bCs w:val="0"/>
          <w:color w:val="auto"/>
        </w:rPr>
        <w:t>国</w:t>
      </w:r>
      <w:r>
        <w:rPr>
          <w:rStyle w:val="26"/>
          <w:rFonts w:hint="eastAsia" w:ascii="仿宋" w:hAnsi="仿宋" w:eastAsia="仿宋"/>
          <w:b w:val="0"/>
          <w:bCs w:val="0"/>
          <w:color w:val="auto"/>
        </w:rPr>
        <w:t>有资本经营预算</w:t>
      </w:r>
      <w:r>
        <w:rPr>
          <w:rStyle w:val="26"/>
          <w:rFonts w:hint="eastAsia" w:ascii="仿宋" w:hAnsi="仿宋" w:eastAsia="仿宋"/>
          <w:b w:val="0"/>
          <w:bCs w:val="0"/>
          <w:color w:val="auto"/>
          <w:lang w:eastAsia="zh-CN"/>
        </w:rPr>
        <w:t>财政拨款收入</w:t>
      </w:r>
      <w:r>
        <w:rPr>
          <w:rStyle w:val="26"/>
          <w:rFonts w:hint="eastAsia" w:ascii="仿宋" w:hAnsi="仿宋" w:eastAsia="仿宋"/>
          <w:b w:val="0"/>
          <w:bCs w:val="0"/>
          <w:color w:val="auto"/>
        </w:rPr>
        <w:t>支出决算表</w:t>
      </w:r>
      <w:bookmarkEnd w:id="65"/>
    </w:p>
    <w:p>
      <w:pPr>
        <w:rPr>
          <w:rFonts w:hint="eastAsia" w:eastAsia="仿宋"/>
          <w:b/>
          <w:bCs/>
          <w:color w:val="FF0000"/>
          <w:lang w:eastAsia="zh-CN"/>
        </w:rPr>
      </w:pPr>
      <w:r>
        <w:rPr>
          <w:rStyle w:val="26"/>
          <w:rFonts w:hint="eastAsia" w:ascii="仿宋" w:hAnsi="仿宋" w:eastAsia="仿宋"/>
          <w:b w:val="0"/>
          <w:bCs w:val="0"/>
          <w:color w:val="auto"/>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ZDA0MWExZmJjYmZkYTM3NzJjOTE3NDM4YjQyMj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3E"/>
    <w:rsid w:val="00A16847"/>
    <w:rsid w:val="00A237D8"/>
    <w:rsid w:val="00A268C4"/>
    <w:rsid w:val="00A307CD"/>
    <w:rsid w:val="00A331C8"/>
    <w:rsid w:val="00A40A00"/>
    <w:rsid w:val="00A4142F"/>
    <w:rsid w:val="00A422EB"/>
    <w:rsid w:val="00A45BB7"/>
    <w:rsid w:val="00A56DF2"/>
    <w:rsid w:val="00A56E6E"/>
    <w:rsid w:val="00A620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654"/>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30D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4D89"/>
    <w:rsid w:val="00FD3CC1"/>
    <w:rsid w:val="00FF1E02"/>
    <w:rsid w:val="00FF30B4"/>
    <w:rsid w:val="01280E5B"/>
    <w:rsid w:val="014C3A8B"/>
    <w:rsid w:val="014D4561"/>
    <w:rsid w:val="01891BC3"/>
    <w:rsid w:val="01C35B03"/>
    <w:rsid w:val="01D40338"/>
    <w:rsid w:val="01E430CE"/>
    <w:rsid w:val="023B6E5A"/>
    <w:rsid w:val="02AF34D4"/>
    <w:rsid w:val="02CD0F31"/>
    <w:rsid w:val="02F24E6B"/>
    <w:rsid w:val="03765584"/>
    <w:rsid w:val="03CE32E5"/>
    <w:rsid w:val="0434361A"/>
    <w:rsid w:val="04FB3A45"/>
    <w:rsid w:val="059A3940"/>
    <w:rsid w:val="05D63CB0"/>
    <w:rsid w:val="060C4EA2"/>
    <w:rsid w:val="060D46C8"/>
    <w:rsid w:val="062F43B2"/>
    <w:rsid w:val="064245D0"/>
    <w:rsid w:val="065C26EB"/>
    <w:rsid w:val="06756C09"/>
    <w:rsid w:val="068001DB"/>
    <w:rsid w:val="06B428E2"/>
    <w:rsid w:val="06BA72DA"/>
    <w:rsid w:val="06D40E51"/>
    <w:rsid w:val="070C66F5"/>
    <w:rsid w:val="070F1893"/>
    <w:rsid w:val="07924D4B"/>
    <w:rsid w:val="08002BCB"/>
    <w:rsid w:val="08063F77"/>
    <w:rsid w:val="085D7190"/>
    <w:rsid w:val="08830747"/>
    <w:rsid w:val="08BA794E"/>
    <w:rsid w:val="08D569DF"/>
    <w:rsid w:val="094E1846"/>
    <w:rsid w:val="096C2F1A"/>
    <w:rsid w:val="0977607E"/>
    <w:rsid w:val="09901286"/>
    <w:rsid w:val="0A2032A3"/>
    <w:rsid w:val="0A233938"/>
    <w:rsid w:val="0BB54972"/>
    <w:rsid w:val="0BE0738C"/>
    <w:rsid w:val="0C407B5E"/>
    <w:rsid w:val="0CD037DA"/>
    <w:rsid w:val="0CE5497D"/>
    <w:rsid w:val="0D1012A1"/>
    <w:rsid w:val="0D4400D7"/>
    <w:rsid w:val="0D806CE6"/>
    <w:rsid w:val="0E2B6800"/>
    <w:rsid w:val="0E8B4FCD"/>
    <w:rsid w:val="0E8F6107"/>
    <w:rsid w:val="0EC01064"/>
    <w:rsid w:val="0EC95C85"/>
    <w:rsid w:val="0F0A4F80"/>
    <w:rsid w:val="0F5D1551"/>
    <w:rsid w:val="0F7871EA"/>
    <w:rsid w:val="100F7103"/>
    <w:rsid w:val="102D734C"/>
    <w:rsid w:val="10C055FF"/>
    <w:rsid w:val="11052878"/>
    <w:rsid w:val="116F5435"/>
    <w:rsid w:val="117341CC"/>
    <w:rsid w:val="118107EC"/>
    <w:rsid w:val="11DD55A3"/>
    <w:rsid w:val="11E543F1"/>
    <w:rsid w:val="13583225"/>
    <w:rsid w:val="137C03DD"/>
    <w:rsid w:val="137E14CA"/>
    <w:rsid w:val="14D61117"/>
    <w:rsid w:val="15092D9C"/>
    <w:rsid w:val="15364FAF"/>
    <w:rsid w:val="156D79FD"/>
    <w:rsid w:val="15865956"/>
    <w:rsid w:val="162F5C57"/>
    <w:rsid w:val="164B3423"/>
    <w:rsid w:val="164D0FCD"/>
    <w:rsid w:val="16530998"/>
    <w:rsid w:val="16A904F9"/>
    <w:rsid w:val="16BB723D"/>
    <w:rsid w:val="17257D08"/>
    <w:rsid w:val="176D1908"/>
    <w:rsid w:val="17DC673B"/>
    <w:rsid w:val="18015F3F"/>
    <w:rsid w:val="18264101"/>
    <w:rsid w:val="188E0BB3"/>
    <w:rsid w:val="19516FA3"/>
    <w:rsid w:val="1987121A"/>
    <w:rsid w:val="19C42681"/>
    <w:rsid w:val="19D50BB8"/>
    <w:rsid w:val="19F771D6"/>
    <w:rsid w:val="1B2C07EF"/>
    <w:rsid w:val="1B305D9F"/>
    <w:rsid w:val="1B602D1E"/>
    <w:rsid w:val="1BB81A25"/>
    <w:rsid w:val="1BE8440E"/>
    <w:rsid w:val="1BEE6872"/>
    <w:rsid w:val="1BF117D7"/>
    <w:rsid w:val="1C184D08"/>
    <w:rsid w:val="1C18542D"/>
    <w:rsid w:val="1D155CEE"/>
    <w:rsid w:val="1D9303A4"/>
    <w:rsid w:val="1DA019F0"/>
    <w:rsid w:val="1E3B4A48"/>
    <w:rsid w:val="1ED0096A"/>
    <w:rsid w:val="1ED048A8"/>
    <w:rsid w:val="1F132604"/>
    <w:rsid w:val="1F3D3056"/>
    <w:rsid w:val="1F7A63A8"/>
    <w:rsid w:val="1F8D42DB"/>
    <w:rsid w:val="1FC62137"/>
    <w:rsid w:val="1FE5342E"/>
    <w:rsid w:val="1FF03F78"/>
    <w:rsid w:val="204E6240"/>
    <w:rsid w:val="20A664F1"/>
    <w:rsid w:val="20B907E5"/>
    <w:rsid w:val="20F35E8E"/>
    <w:rsid w:val="20F57F95"/>
    <w:rsid w:val="219D2391"/>
    <w:rsid w:val="21AA1C6F"/>
    <w:rsid w:val="22C83E90"/>
    <w:rsid w:val="22CA5E26"/>
    <w:rsid w:val="233001FE"/>
    <w:rsid w:val="235D2A24"/>
    <w:rsid w:val="23B859AD"/>
    <w:rsid w:val="24020B53"/>
    <w:rsid w:val="240371BF"/>
    <w:rsid w:val="24542F98"/>
    <w:rsid w:val="24607027"/>
    <w:rsid w:val="2482439A"/>
    <w:rsid w:val="24B54C38"/>
    <w:rsid w:val="24D53E72"/>
    <w:rsid w:val="25206B32"/>
    <w:rsid w:val="252C38F8"/>
    <w:rsid w:val="256879C9"/>
    <w:rsid w:val="25BB7F79"/>
    <w:rsid w:val="25DC4EE2"/>
    <w:rsid w:val="25EC619C"/>
    <w:rsid w:val="26C0588F"/>
    <w:rsid w:val="27077BE6"/>
    <w:rsid w:val="27372B0F"/>
    <w:rsid w:val="2738594D"/>
    <w:rsid w:val="27842671"/>
    <w:rsid w:val="27B84667"/>
    <w:rsid w:val="27E34E31"/>
    <w:rsid w:val="28013942"/>
    <w:rsid w:val="283745C5"/>
    <w:rsid w:val="283D11FE"/>
    <w:rsid w:val="283D29E4"/>
    <w:rsid w:val="28DD2917"/>
    <w:rsid w:val="29980D61"/>
    <w:rsid w:val="29A552E6"/>
    <w:rsid w:val="29E07B97"/>
    <w:rsid w:val="29FD04D3"/>
    <w:rsid w:val="2A285398"/>
    <w:rsid w:val="2ABE7A3E"/>
    <w:rsid w:val="2AC4777C"/>
    <w:rsid w:val="2AE21374"/>
    <w:rsid w:val="2B09130B"/>
    <w:rsid w:val="2B1C2CAA"/>
    <w:rsid w:val="2B703275"/>
    <w:rsid w:val="2BA13E07"/>
    <w:rsid w:val="2BD77C01"/>
    <w:rsid w:val="2C29182C"/>
    <w:rsid w:val="2C3D2A0A"/>
    <w:rsid w:val="2CD21D3E"/>
    <w:rsid w:val="2D097943"/>
    <w:rsid w:val="2D162164"/>
    <w:rsid w:val="2DDF466F"/>
    <w:rsid w:val="2E8F72AC"/>
    <w:rsid w:val="2EDB760A"/>
    <w:rsid w:val="2F620536"/>
    <w:rsid w:val="2F6D0BD8"/>
    <w:rsid w:val="2F8C744F"/>
    <w:rsid w:val="2FDC23DA"/>
    <w:rsid w:val="30224AD1"/>
    <w:rsid w:val="30A41B2F"/>
    <w:rsid w:val="31754F9B"/>
    <w:rsid w:val="319F13BE"/>
    <w:rsid w:val="319F7F4E"/>
    <w:rsid w:val="31B51368"/>
    <w:rsid w:val="328B1570"/>
    <w:rsid w:val="32B52FCC"/>
    <w:rsid w:val="32CF2E78"/>
    <w:rsid w:val="332240C6"/>
    <w:rsid w:val="334839CE"/>
    <w:rsid w:val="336A7DE0"/>
    <w:rsid w:val="33A94190"/>
    <w:rsid w:val="33CE4379"/>
    <w:rsid w:val="33F12C4F"/>
    <w:rsid w:val="34413087"/>
    <w:rsid w:val="346B6750"/>
    <w:rsid w:val="34F54765"/>
    <w:rsid w:val="35401E71"/>
    <w:rsid w:val="355C034E"/>
    <w:rsid w:val="35805F76"/>
    <w:rsid w:val="35E215AB"/>
    <w:rsid w:val="35E7620B"/>
    <w:rsid w:val="35FA7C22"/>
    <w:rsid w:val="367335C1"/>
    <w:rsid w:val="36895C7D"/>
    <w:rsid w:val="36B169CB"/>
    <w:rsid w:val="36E1775A"/>
    <w:rsid w:val="389E4CE2"/>
    <w:rsid w:val="39252EBD"/>
    <w:rsid w:val="3929050B"/>
    <w:rsid w:val="394828B1"/>
    <w:rsid w:val="396F28B4"/>
    <w:rsid w:val="39755BC7"/>
    <w:rsid w:val="39A707CF"/>
    <w:rsid w:val="39FA6790"/>
    <w:rsid w:val="3A343917"/>
    <w:rsid w:val="3AC72C1F"/>
    <w:rsid w:val="3B7E0624"/>
    <w:rsid w:val="3B8B3B90"/>
    <w:rsid w:val="3BA64DF5"/>
    <w:rsid w:val="3BDB1F6D"/>
    <w:rsid w:val="3C0C0783"/>
    <w:rsid w:val="3C4C2B4E"/>
    <w:rsid w:val="3C9D3FF2"/>
    <w:rsid w:val="3CF83300"/>
    <w:rsid w:val="3D9F0484"/>
    <w:rsid w:val="3DDB5C77"/>
    <w:rsid w:val="3DF34018"/>
    <w:rsid w:val="3DFC46FB"/>
    <w:rsid w:val="3E3337CC"/>
    <w:rsid w:val="3E531D20"/>
    <w:rsid w:val="3E5D4B91"/>
    <w:rsid w:val="3E813560"/>
    <w:rsid w:val="3E9000D9"/>
    <w:rsid w:val="3EA9143B"/>
    <w:rsid w:val="3F095ED1"/>
    <w:rsid w:val="3F2A44DF"/>
    <w:rsid w:val="3F757F8A"/>
    <w:rsid w:val="3F8B0C0F"/>
    <w:rsid w:val="3FAD563A"/>
    <w:rsid w:val="40050B29"/>
    <w:rsid w:val="407C7BD9"/>
    <w:rsid w:val="40E17906"/>
    <w:rsid w:val="40F93028"/>
    <w:rsid w:val="416713B2"/>
    <w:rsid w:val="41F93782"/>
    <w:rsid w:val="424338AA"/>
    <w:rsid w:val="42D31DC6"/>
    <w:rsid w:val="42DD25B8"/>
    <w:rsid w:val="42E74660"/>
    <w:rsid w:val="431B4380"/>
    <w:rsid w:val="43734411"/>
    <w:rsid w:val="43F877C9"/>
    <w:rsid w:val="44026589"/>
    <w:rsid w:val="459C0199"/>
    <w:rsid w:val="45A900CE"/>
    <w:rsid w:val="461F604A"/>
    <w:rsid w:val="46F62F02"/>
    <w:rsid w:val="47074AA8"/>
    <w:rsid w:val="4724221D"/>
    <w:rsid w:val="47310DC7"/>
    <w:rsid w:val="47A553E8"/>
    <w:rsid w:val="47C94468"/>
    <w:rsid w:val="48676D7B"/>
    <w:rsid w:val="489F657F"/>
    <w:rsid w:val="48FB43EB"/>
    <w:rsid w:val="49210CC8"/>
    <w:rsid w:val="493074A2"/>
    <w:rsid w:val="493C27E9"/>
    <w:rsid w:val="495A6F4D"/>
    <w:rsid w:val="496F39ED"/>
    <w:rsid w:val="49BE76B2"/>
    <w:rsid w:val="49BF74EA"/>
    <w:rsid w:val="49FF41D3"/>
    <w:rsid w:val="4A7863CE"/>
    <w:rsid w:val="4A800BE6"/>
    <w:rsid w:val="4A850C4C"/>
    <w:rsid w:val="4B0B06F0"/>
    <w:rsid w:val="4B666FE8"/>
    <w:rsid w:val="4B736055"/>
    <w:rsid w:val="4B916F75"/>
    <w:rsid w:val="4BE068DB"/>
    <w:rsid w:val="4BF6002B"/>
    <w:rsid w:val="4C154272"/>
    <w:rsid w:val="4C1D116C"/>
    <w:rsid w:val="4C45145A"/>
    <w:rsid w:val="4C572821"/>
    <w:rsid w:val="4C97140F"/>
    <w:rsid w:val="4CB553E3"/>
    <w:rsid w:val="4CED076E"/>
    <w:rsid w:val="4D3D0CB5"/>
    <w:rsid w:val="4D64576B"/>
    <w:rsid w:val="4D8243C7"/>
    <w:rsid w:val="4DA804CB"/>
    <w:rsid w:val="4E0A0A8B"/>
    <w:rsid w:val="4E855F76"/>
    <w:rsid w:val="4ECE2238"/>
    <w:rsid w:val="4F0408E3"/>
    <w:rsid w:val="4F1D4BB6"/>
    <w:rsid w:val="4F281E6B"/>
    <w:rsid w:val="4F3D570E"/>
    <w:rsid w:val="4F7E6E24"/>
    <w:rsid w:val="4F8745B3"/>
    <w:rsid w:val="50A01768"/>
    <w:rsid w:val="50C32BC5"/>
    <w:rsid w:val="5138012D"/>
    <w:rsid w:val="517D3D28"/>
    <w:rsid w:val="51844B18"/>
    <w:rsid w:val="52795294"/>
    <w:rsid w:val="5296322D"/>
    <w:rsid w:val="52C45541"/>
    <w:rsid w:val="52D61862"/>
    <w:rsid w:val="53814C4A"/>
    <w:rsid w:val="53CC09F8"/>
    <w:rsid w:val="54062A13"/>
    <w:rsid w:val="55004DFD"/>
    <w:rsid w:val="551F2792"/>
    <w:rsid w:val="56322E85"/>
    <w:rsid w:val="57537CDB"/>
    <w:rsid w:val="57562F44"/>
    <w:rsid w:val="57826737"/>
    <w:rsid w:val="579473DF"/>
    <w:rsid w:val="57A021EE"/>
    <w:rsid w:val="57F91082"/>
    <w:rsid w:val="580E7DA8"/>
    <w:rsid w:val="58AF5350"/>
    <w:rsid w:val="58DD5FD4"/>
    <w:rsid w:val="59B4458F"/>
    <w:rsid w:val="59DD2E35"/>
    <w:rsid w:val="5A102393"/>
    <w:rsid w:val="5A3143BA"/>
    <w:rsid w:val="5A4B31FD"/>
    <w:rsid w:val="5A7360A4"/>
    <w:rsid w:val="5A8B1BA4"/>
    <w:rsid w:val="5B846E74"/>
    <w:rsid w:val="5B865E6B"/>
    <w:rsid w:val="5C4516E8"/>
    <w:rsid w:val="5C995956"/>
    <w:rsid w:val="5D09262B"/>
    <w:rsid w:val="5D380045"/>
    <w:rsid w:val="5D717B38"/>
    <w:rsid w:val="5FAC5F1B"/>
    <w:rsid w:val="5FCF7353"/>
    <w:rsid w:val="5FF771D1"/>
    <w:rsid w:val="60123C37"/>
    <w:rsid w:val="606721D5"/>
    <w:rsid w:val="60F876E1"/>
    <w:rsid w:val="61BB6D6F"/>
    <w:rsid w:val="61E74800"/>
    <w:rsid w:val="61FF3EB4"/>
    <w:rsid w:val="625873FD"/>
    <w:rsid w:val="62734705"/>
    <w:rsid w:val="628C565B"/>
    <w:rsid w:val="62B60822"/>
    <w:rsid w:val="6354441A"/>
    <w:rsid w:val="63A84D09"/>
    <w:rsid w:val="64092204"/>
    <w:rsid w:val="644B37AD"/>
    <w:rsid w:val="64547818"/>
    <w:rsid w:val="64835606"/>
    <w:rsid w:val="64A006DF"/>
    <w:rsid w:val="64CA39A1"/>
    <w:rsid w:val="64F7584F"/>
    <w:rsid w:val="65274879"/>
    <w:rsid w:val="6581785D"/>
    <w:rsid w:val="658613C0"/>
    <w:rsid w:val="65B10D79"/>
    <w:rsid w:val="65B32008"/>
    <w:rsid w:val="65F53BD7"/>
    <w:rsid w:val="660C381E"/>
    <w:rsid w:val="6627552D"/>
    <w:rsid w:val="66407E1F"/>
    <w:rsid w:val="665F7F94"/>
    <w:rsid w:val="6663678E"/>
    <w:rsid w:val="66822BEC"/>
    <w:rsid w:val="668D797B"/>
    <w:rsid w:val="66CC0AE4"/>
    <w:rsid w:val="66CE394A"/>
    <w:rsid w:val="66E17E19"/>
    <w:rsid w:val="66F55ED8"/>
    <w:rsid w:val="671B1835"/>
    <w:rsid w:val="67EB6379"/>
    <w:rsid w:val="68DD0801"/>
    <w:rsid w:val="692E560B"/>
    <w:rsid w:val="69726E84"/>
    <w:rsid w:val="69ED0CF4"/>
    <w:rsid w:val="6B3B1ECF"/>
    <w:rsid w:val="6BA333BB"/>
    <w:rsid w:val="6C2A00DB"/>
    <w:rsid w:val="6C4A05C8"/>
    <w:rsid w:val="6CF10D59"/>
    <w:rsid w:val="6D790E2F"/>
    <w:rsid w:val="6D993774"/>
    <w:rsid w:val="6E2273DF"/>
    <w:rsid w:val="6FA10F9D"/>
    <w:rsid w:val="70486108"/>
    <w:rsid w:val="70546035"/>
    <w:rsid w:val="7088548A"/>
    <w:rsid w:val="70C3542B"/>
    <w:rsid w:val="71554035"/>
    <w:rsid w:val="71644756"/>
    <w:rsid w:val="7268104E"/>
    <w:rsid w:val="726D5814"/>
    <w:rsid w:val="72734D90"/>
    <w:rsid w:val="72E9753C"/>
    <w:rsid w:val="73295B04"/>
    <w:rsid w:val="735A0B04"/>
    <w:rsid w:val="73666B70"/>
    <w:rsid w:val="74320D49"/>
    <w:rsid w:val="74744614"/>
    <w:rsid w:val="756C11C2"/>
    <w:rsid w:val="759463A9"/>
    <w:rsid w:val="75AF75E7"/>
    <w:rsid w:val="76DA37A9"/>
    <w:rsid w:val="772B3763"/>
    <w:rsid w:val="774A08B6"/>
    <w:rsid w:val="77786305"/>
    <w:rsid w:val="777E7776"/>
    <w:rsid w:val="778251C5"/>
    <w:rsid w:val="780064FD"/>
    <w:rsid w:val="7902780E"/>
    <w:rsid w:val="7965235B"/>
    <w:rsid w:val="79B044DD"/>
    <w:rsid w:val="79C97604"/>
    <w:rsid w:val="79EF1AF0"/>
    <w:rsid w:val="7A1C043D"/>
    <w:rsid w:val="7A636770"/>
    <w:rsid w:val="7A9D28D8"/>
    <w:rsid w:val="7ABD7039"/>
    <w:rsid w:val="7AC10694"/>
    <w:rsid w:val="7B045A02"/>
    <w:rsid w:val="7B7C0C2E"/>
    <w:rsid w:val="7BC10B80"/>
    <w:rsid w:val="7BFF5B60"/>
    <w:rsid w:val="7C0606FA"/>
    <w:rsid w:val="7C076055"/>
    <w:rsid w:val="7C0B7F81"/>
    <w:rsid w:val="7C5A2502"/>
    <w:rsid w:val="7C950A0A"/>
    <w:rsid w:val="7CAE51A0"/>
    <w:rsid w:val="7DBA10EA"/>
    <w:rsid w:val="7E05347E"/>
    <w:rsid w:val="7E6A0B4F"/>
    <w:rsid w:val="7E9B3F01"/>
    <w:rsid w:val="7EAB2FCF"/>
    <w:rsid w:val="7F566C90"/>
    <w:rsid w:val="7F793A64"/>
    <w:rsid w:val="7F7B5CD2"/>
    <w:rsid w:val="7F982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0915;&#31639;&#20844;&#24320;\&#30011;&#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0915;&#31639;&#20844;&#24320;\&#22235;&#24029;&#30465;&#25104;&#37117;&#26410;&#25104;&#24180;&#29359;&#31649;&#25945;&#25152;1.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0915;&#31639;&#20844;&#24320;\&#30011;&#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0915;&#31639;&#20844;&#24320;\&#30011;&#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0915;&#31639;&#20844;&#24320;\&#30011;&#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915;&#31639;&#20844;&#24320;\&#30011;&#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915;&#31639;&#20844;&#24320;\&#3001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[画图表.xlsx]Sheet1!$C$4</c:f>
              <c:strCache>
                <c:ptCount val="1"/>
                <c:pt idx="0">
                  <c:v>图1：收、支决算总计变动情况图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[画图表.xlsx]Sheet1!$B$5:$B$6</c:f>
              <c:strCache>
                <c:ptCount val="2"/>
                <c:pt idx="0">
                  <c:v>2019年</c:v>
                </c:pt>
                <c:pt idx="1">
                  <c:v>2020年</c:v>
                </c:pt>
              </c:strCache>
            </c:strRef>
          </c:cat>
          <c:val>
            <c:numRef>
              <c:f>[画图表.xlsx]Sheet1!$C$5:$C$6</c:f>
              <c:numCache>
                <c:formatCode>General</c:formatCode>
                <c:ptCount val="2"/>
                <c:pt idx="0">
                  <c:v>12219.69</c:v>
                </c:pt>
                <c:pt idx="1">
                  <c:v>13859.22</c:v>
                </c:pt>
              </c:numCache>
            </c:numRef>
          </c:val>
        </c:ser>
        <c:dLbls>
          <c:showLegendKey val="0"/>
          <c:showVal val="1"/>
          <c:showCatName val="0"/>
          <c:showSerName val="0"/>
          <c:showPercent val="0"/>
          <c:showBubbleSize val="0"/>
        </c:dLbls>
        <c:gapWidth val="219"/>
        <c:overlap val="-27"/>
        <c:axId val="939715015"/>
        <c:axId val="152590453"/>
      </c:barChart>
      <c:catAx>
        <c:axId val="939715015"/>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manualLayout>
              <c:xMode val="edge"/>
              <c:yMode val="edge"/>
              <c:x val="0.83101506221349"/>
              <c:y val="0.081944444444444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590453"/>
        <c:crosses val="autoZero"/>
        <c:auto val="1"/>
        <c:lblAlgn val="ctr"/>
        <c:lblOffset val="100"/>
        <c:noMultiLvlLbl val="0"/>
      </c:catAx>
      <c:valAx>
        <c:axId val="1525904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9715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'[四川省成都未成年犯管教所1.xls]Z01 收入支出决算总表'!$I$2</c:f>
              <c:strCache>
                <c:ptCount val="1"/>
                <c:pt idx="0">
                  <c:v>图2：收入决算结构图（单位：万元）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'[四川省成都未成年犯管教所1.xls]Z01 收入支出决算总表'!$H$3:$H$4</c:f>
              <c:strCache>
                <c:ptCount val="2"/>
                <c:pt idx="0">
                  <c:v>一般公共预算财政拨款收入</c:v>
                </c:pt>
                <c:pt idx="1">
                  <c:v>其他收入</c:v>
                </c:pt>
              </c:strCache>
            </c:strRef>
          </c:cat>
          <c:val>
            <c:numRef>
              <c:f>'[四川省成都未成年犯管教所1.xls]Z01 收入支出决算总表'!$I$3:$I$4</c:f>
              <c:numCache>
                <c:formatCode>#,##0.00</c:formatCode>
                <c:ptCount val="2"/>
                <c:pt idx="0">
                  <c:v>13409.65</c:v>
                </c:pt>
                <c:pt idx="1">
                  <c:v>139.65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[画图表.xlsx]Sheet1!$A$41</c:f>
              <c:strCache>
                <c:ptCount val="1"/>
                <c:pt idx="0">
                  <c:v>图3：支出决算结构图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68%</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114298470946927"/>
                  <c:y val="0.082710916477828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32%</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[画图表.xlsx]Sheet1!$B$37:$C$40</c:f>
              <c:multiLvlStrCache>
                <c:ptCount val="2"/>
                <c:lvl/>
                <c:lvl/>
                <c:lvl/>
                <c:lvl>
                  <c:pt idx="0">
                    <c:v>基本支出</c:v>
                  </c:pt>
                  <c:pt idx="1">
                    <c:v>项目支出</c:v>
                  </c:pt>
                </c:lvl>
              </c:multiLvlStrCache>
            </c:multiLvlStrRef>
          </c:cat>
          <c:val>
            <c:numRef>
              <c:f>[画图表.xlsx]Sheet1!$B$41:$C$41</c:f>
              <c:numCache>
                <c:formatCode>General</c:formatCode>
                <c:ptCount val="2"/>
                <c:pt idx="0">
                  <c:v>0.677615022118278</c:v>
                </c:pt>
                <c:pt idx="1">
                  <c:v>0.322384977881722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[画图表.xlsx]Sheet1!$C$47</c:f>
              <c:strCache>
                <c:ptCount val="1"/>
                <c:pt idx="0">
                  <c:v>图4：财政拨款收、支决算总计变动情况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[画图表.xlsx]Sheet1!$B$48:$B$49</c:f>
              <c:strCache>
                <c:ptCount val="2"/>
                <c:pt idx="0">
                  <c:v>2019年</c:v>
                </c:pt>
                <c:pt idx="1">
                  <c:v>2020年</c:v>
                </c:pt>
              </c:strCache>
            </c:strRef>
          </c:cat>
          <c:val>
            <c:numRef>
              <c:f>[画图表.xlsx]Sheet1!$C$48:$C$49</c:f>
              <c:numCache>
                <c:formatCode>General</c:formatCode>
                <c:ptCount val="2"/>
                <c:pt idx="0">
                  <c:v>12219.69</c:v>
                </c:pt>
                <c:pt idx="1" c:formatCode="#,##0.00">
                  <c:v>13709.65</c:v>
                </c:pt>
              </c:numCache>
            </c:numRef>
          </c:val>
        </c:ser>
        <c:dLbls>
          <c:showLegendKey val="0"/>
          <c:showVal val="1"/>
          <c:showCatName val="0"/>
          <c:showSerName val="0"/>
          <c:showPercent val="0"/>
          <c:showBubbleSize val="0"/>
        </c:dLbls>
        <c:gapWidth val="219"/>
        <c:overlap val="-27"/>
        <c:axId val="14490965"/>
        <c:axId val="607343276"/>
      </c:barChart>
      <c:catAx>
        <c:axId val="144909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343276"/>
        <c:crosses val="autoZero"/>
        <c:auto val="1"/>
        <c:lblAlgn val="ctr"/>
        <c:lblOffset val="100"/>
        <c:noMultiLvlLbl val="0"/>
      </c:catAx>
      <c:valAx>
        <c:axId val="6073432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manualLayout>
              <c:xMode val="edge"/>
              <c:yMode val="edge"/>
              <c:x val="0.0180555555555556"/>
              <c:y val="0.40386574074074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9096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0833333333333"/>
          <c:y val="0.041666666666666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35114603798297"/>
          <c:y val="0.221064814814815"/>
          <c:w val="0.822318271119843"/>
          <c:h val="0.710972222222222"/>
        </c:manualLayout>
      </c:layout>
      <c:barChart>
        <c:barDir val="col"/>
        <c:grouping val="clustered"/>
        <c:varyColors val="0"/>
        <c:ser>
          <c:idx val="0"/>
          <c:order val="0"/>
          <c:tx>
            <c:strRef>
              <c:f>[画图表.xlsx]Sheet1!$C$56</c:f>
              <c:strCache>
                <c:ptCount val="1"/>
                <c:pt idx="0">
                  <c:v>图5：一般公共预算财政拨款支出决算变动情况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[画图表.xlsx]Sheet1!$B$57:$B$58</c:f>
              <c:strCache>
                <c:ptCount val="2"/>
                <c:pt idx="0">
                  <c:v>2019年</c:v>
                </c:pt>
                <c:pt idx="1">
                  <c:v>2020年</c:v>
                </c:pt>
              </c:strCache>
            </c:strRef>
          </c:cat>
          <c:val>
            <c:numRef>
              <c:f>[画图表.xlsx]Sheet1!$C$57:$C$58</c:f>
              <c:numCache>
                <c:formatCode>General</c:formatCode>
                <c:ptCount val="2"/>
                <c:pt idx="0">
                  <c:v>12206.26</c:v>
                </c:pt>
                <c:pt idx="1" c:formatCode="#,##0.00">
                  <c:v>13409.65</c:v>
                </c:pt>
              </c:numCache>
            </c:numRef>
          </c:val>
        </c:ser>
        <c:dLbls>
          <c:showLegendKey val="0"/>
          <c:showVal val="1"/>
          <c:showCatName val="0"/>
          <c:showSerName val="0"/>
          <c:showPercent val="0"/>
          <c:showBubbleSize val="0"/>
        </c:dLbls>
        <c:gapWidth val="219"/>
        <c:overlap val="-27"/>
        <c:axId val="560678582"/>
        <c:axId val="368699764"/>
      </c:barChart>
      <c:catAx>
        <c:axId val="5606785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699764"/>
        <c:crosses val="autoZero"/>
        <c:auto val="1"/>
        <c:lblAlgn val="ctr"/>
        <c:lblOffset val="100"/>
        <c:noMultiLvlLbl val="0"/>
      </c:catAx>
      <c:valAx>
        <c:axId val="3686997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altLang="en-US"/>
                  <a:t>单位：万元</a:t>
                </a:r>
                <a:endParaRPr lang="en-US" altLang="zh-CN"/>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06785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图6：一般公共预算财政拨款支出决算结构 （单位：万元）</a:t>
            </a:r>
          </a:p>
        </c:rich>
      </c:tx>
      <c:layout/>
      <c:overlay val="0"/>
      <c:spPr>
        <a:noFill/>
        <a:ln>
          <a:noFill/>
        </a:ln>
        <a:effectLst/>
      </c:spPr>
    </c:title>
    <c:autoTitleDeleted val="0"/>
    <c:plotArea>
      <c:layout/>
      <c:pieChart>
        <c:varyColors val="1"/>
        <c:ser>
          <c:idx val="0"/>
          <c:order val="0"/>
          <c:tx>
            <c:strRef>
              <c:f>[画图表.xlsx]Sheet1!$C$71:$C$72</c:f>
              <c:strCache>
                <c:ptCount val="1"/>
                <c:pt idx="0">
                  <c:v>图6：一般公共预算财政拨款支出决算结构 13409.66</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[画图表.xlsx]Sheet1!$B$73:$B$77</c:f>
              <c:strCache>
                <c:ptCount val="5"/>
                <c:pt idx="0">
                  <c:v>公共安全支出</c:v>
                </c:pt>
                <c:pt idx="1">
                  <c:v>教育支出</c:v>
                </c:pt>
                <c:pt idx="2">
                  <c:v>社会保障和就业支出</c:v>
                </c:pt>
                <c:pt idx="3">
                  <c:v>卫生健康支出</c:v>
                </c:pt>
                <c:pt idx="4">
                  <c:v>住房保障支出</c:v>
                </c:pt>
              </c:strCache>
            </c:strRef>
          </c:cat>
          <c:val>
            <c:numRef>
              <c:f>[画图表.xlsx]Sheet1!$C$73:$C$77</c:f>
              <c:numCache>
                <c:formatCode>#,##0.00</c:formatCode>
                <c:ptCount val="5"/>
                <c:pt idx="0">
                  <c:v>10545.34</c:v>
                </c:pt>
                <c:pt idx="1">
                  <c:v>28.98</c:v>
                </c:pt>
                <c:pt idx="2">
                  <c:v>991.8</c:v>
                </c:pt>
                <c:pt idx="3">
                  <c:v>588.36</c:v>
                </c:pt>
                <c:pt idx="4">
                  <c:v>1255.18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904861111111111"/>
          <c:y val="0.034722222222222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[画图表.xlsx]Sheet1!$B$106</c:f>
              <c:strCache>
                <c:ptCount val="1"/>
                <c:pt idx="0">
                  <c:v>图7：“三公”经费财政拨款支出结构（单位：万元）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[画图表.xlsx]Sheet1!$A$107:$A$108</c:f>
              <c:strCache>
                <c:ptCount val="2"/>
                <c:pt idx="0">
                  <c:v>公务用车购置及运行维护费</c:v>
                </c:pt>
                <c:pt idx="1">
                  <c:v>公务接待费</c:v>
                </c:pt>
              </c:strCache>
            </c:strRef>
          </c:cat>
          <c:val>
            <c:numRef>
              <c:f>[画图表.xlsx]Sheet1!$B$107:$B$108</c:f>
              <c:numCache>
                <c:formatCode>General</c:formatCode>
                <c:ptCount val="2"/>
                <c:pt idx="0">
                  <c:v>47</c:v>
                </c:pt>
                <c:pt idx="1">
                  <c:v>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6680</Words>
  <Characters>8648</Characters>
  <Lines>61</Lines>
  <Paragraphs>17</Paragraphs>
  <TotalTime>0</TotalTime>
  <ScaleCrop>false</ScaleCrop>
  <LinksUpToDate>false</LinksUpToDate>
  <CharactersWithSpaces>8677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王青</cp:lastModifiedBy>
  <cp:lastPrinted>2021-08-17T08:06:00Z</cp:lastPrinted>
  <dcterms:modified xsi:type="dcterms:W3CDTF">2022-11-14T08:12:55Z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57E153EF00B44541A4DA3BEDD59C7DA0</vt:lpwstr>
  </property>
</Properties>
</file>