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26" w:rsidRDefault="00F84626">
      <w:pPr>
        <w:spacing w:line="600" w:lineRule="exact"/>
        <w:jc w:val="left"/>
        <w:outlineLvl w:val="0"/>
        <w:rPr>
          <w:rFonts w:ascii="方正小标宋简体" w:eastAsia="方正小标宋简体" w:hAnsi="宋体"/>
          <w:color w:val="000000"/>
          <w:sz w:val="30"/>
          <w:szCs w:val="30"/>
        </w:rPr>
      </w:pPr>
      <w:bookmarkStart w:id="0" w:name="_Toc15306267"/>
    </w:p>
    <w:p w:rsidR="00F84626" w:rsidRDefault="00F84626">
      <w:pPr>
        <w:spacing w:line="600" w:lineRule="exact"/>
        <w:jc w:val="center"/>
        <w:outlineLvl w:val="0"/>
        <w:rPr>
          <w:rFonts w:ascii="方正小标宋简体" w:eastAsia="方正小标宋简体" w:hAnsi="宋体"/>
          <w:color w:val="000000"/>
          <w:sz w:val="72"/>
          <w:szCs w:val="72"/>
        </w:rPr>
      </w:pPr>
    </w:p>
    <w:p w:rsidR="00F84626" w:rsidRDefault="00F84626">
      <w:pPr>
        <w:spacing w:line="600" w:lineRule="exact"/>
        <w:jc w:val="center"/>
        <w:outlineLvl w:val="0"/>
        <w:rPr>
          <w:rFonts w:ascii="方正小标宋简体" w:eastAsia="方正小标宋简体" w:hAnsi="宋体"/>
          <w:color w:val="000000"/>
          <w:sz w:val="72"/>
          <w:szCs w:val="72"/>
        </w:rPr>
      </w:pPr>
    </w:p>
    <w:p w:rsidR="00F84626" w:rsidRDefault="00F84626">
      <w:pPr>
        <w:spacing w:line="600" w:lineRule="exact"/>
        <w:jc w:val="center"/>
        <w:outlineLvl w:val="0"/>
        <w:rPr>
          <w:rFonts w:ascii="方正小标宋简体" w:eastAsia="方正小标宋简体" w:hAnsi="宋体"/>
          <w:color w:val="000000"/>
          <w:sz w:val="72"/>
          <w:szCs w:val="72"/>
        </w:rPr>
      </w:pPr>
    </w:p>
    <w:p w:rsidR="00F84626" w:rsidRDefault="00072B79">
      <w:pPr>
        <w:adjustRightInd w:val="0"/>
        <w:snapToGrid w:val="0"/>
        <w:spacing w:line="360" w:lineRule="auto"/>
        <w:jc w:val="center"/>
        <w:outlineLvl w:val="0"/>
        <w:rPr>
          <w:rFonts w:ascii="方正小标宋简体" w:eastAsia="方正小标宋简体" w:hAnsi="宋体"/>
          <w:sz w:val="72"/>
          <w:szCs w:val="72"/>
        </w:rPr>
      </w:pPr>
      <w:bookmarkStart w:id="1" w:name="_Toc15396475"/>
      <w:bookmarkStart w:id="2" w:name="_Toc15377193"/>
      <w:bookmarkStart w:id="3" w:name="_Toc15396597"/>
      <w:bookmarkStart w:id="4" w:name="_Toc15378441"/>
      <w:bookmarkStart w:id="5" w:name="_Toc15377425"/>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rsidR="00F84626" w:rsidRDefault="00072B79">
      <w:pPr>
        <w:adjustRightInd w:val="0"/>
        <w:snapToGrid w:val="0"/>
        <w:spacing w:line="360" w:lineRule="auto"/>
        <w:jc w:val="center"/>
        <w:outlineLvl w:val="0"/>
        <w:rPr>
          <w:rFonts w:ascii="方正小标宋简体" w:eastAsia="方正小标宋简体" w:hAnsi="宋体"/>
          <w:sz w:val="72"/>
          <w:szCs w:val="72"/>
        </w:rPr>
      </w:pPr>
      <w:bookmarkStart w:id="6" w:name="_Toc15377194"/>
      <w:bookmarkStart w:id="7" w:name="_Toc15378442"/>
      <w:bookmarkStart w:id="8" w:name="_Toc15396598"/>
      <w:bookmarkStart w:id="9" w:name="_Toc15377426"/>
      <w:bookmarkStart w:id="10" w:name="_Toc15396476"/>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至诚监狱</w:t>
      </w:r>
    </w:p>
    <w:p w:rsidR="00F84626" w:rsidRDefault="000356EA">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w:t>
      </w:r>
      <w:bookmarkStart w:id="12" w:name="_GoBack"/>
      <w:bookmarkEnd w:id="12"/>
      <w:r w:rsidR="00072B79">
        <w:rPr>
          <w:rFonts w:ascii="方正小标宋简体" w:eastAsia="方正小标宋简体" w:hAnsi="宋体" w:hint="eastAsia"/>
          <w:sz w:val="72"/>
          <w:szCs w:val="72"/>
        </w:rPr>
        <w:t>决算</w:t>
      </w:r>
      <w:bookmarkEnd w:id="6"/>
      <w:bookmarkEnd w:id="7"/>
      <w:bookmarkEnd w:id="8"/>
      <w:bookmarkEnd w:id="9"/>
      <w:bookmarkEnd w:id="10"/>
      <w:bookmarkEnd w:id="11"/>
    </w:p>
    <w:p w:rsidR="00F84626" w:rsidRDefault="00072B79">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84626" w:rsidRDefault="00F84626">
      <w:pPr>
        <w:widowControl/>
        <w:jc w:val="center"/>
        <w:rPr>
          <w:rFonts w:ascii="黑体" w:eastAsia="黑体" w:hAnsi="黑体" w:cstheme="minorBidi"/>
          <w:sz w:val="28"/>
          <w:szCs w:val="28"/>
        </w:rPr>
      </w:pPr>
    </w:p>
    <w:p w:rsidR="00F84626" w:rsidRDefault="00072B79">
      <w:pPr>
        <w:pStyle w:val="10"/>
      </w:pPr>
      <w:r>
        <w:rPr>
          <w:rFonts w:hint="eastAsia"/>
        </w:rPr>
        <w:t>公开时间：2021年9月10日</w:t>
      </w:r>
    </w:p>
    <w:p w:rsidR="00F84626" w:rsidRDefault="00F84626"/>
    <w:p w:rsidR="00F84626" w:rsidRDefault="00072B79">
      <w:pPr>
        <w:pStyle w:val="10"/>
        <w:adjustRightInd w:val="0"/>
        <w:snapToGrid w:val="0"/>
        <w:spacing w:before="0" w:line="440" w:lineRule="exact"/>
        <w:jc w:val="left"/>
        <w:rPr>
          <w:rFonts w:cstheme="minorBidi"/>
          <w:sz w:val="24"/>
          <w:szCs w:val="24"/>
        </w:rPr>
      </w:pPr>
      <w:r>
        <w:rPr>
          <w:rFonts w:hint="eastAsia"/>
          <w:sz w:val="24"/>
        </w:rPr>
        <w:t>第一部分单位概况.................................................</w:t>
      </w:r>
      <w:r>
        <w:rPr>
          <w:rFonts w:hint="eastAsia"/>
        </w:rPr>
        <w:t>4</w:t>
      </w:r>
    </w:p>
    <w:p w:rsidR="00F84626" w:rsidRDefault="00072B79">
      <w:pPr>
        <w:pStyle w:val="20"/>
        <w:adjustRightInd w:val="0"/>
        <w:snapToGrid w:val="0"/>
        <w:spacing w:line="440" w:lineRule="exact"/>
        <w:jc w:val="left"/>
        <w:rPr>
          <w:sz w:val="28"/>
          <w:szCs w:val="28"/>
        </w:rPr>
      </w:pPr>
      <w:r>
        <w:rPr>
          <w:rFonts w:hint="eastAsia"/>
          <w:sz w:val="24"/>
        </w:rPr>
        <w:t>一、职能简介</w:t>
      </w:r>
      <w:r>
        <w:rPr>
          <w:rFonts w:hint="eastAsia"/>
          <w:sz w:val="24"/>
        </w:rPr>
        <w:t>.....................................................................................................</w:t>
      </w:r>
      <w:r>
        <w:rPr>
          <w:rFonts w:ascii="仿宋" w:eastAsia="仿宋" w:hAnsi="仿宋" w:hint="eastAsia"/>
          <w:sz w:val="28"/>
          <w:szCs w:val="28"/>
        </w:rPr>
        <w:t>4</w:t>
      </w:r>
    </w:p>
    <w:p w:rsidR="00F84626" w:rsidRDefault="00072B79">
      <w:pPr>
        <w:pStyle w:val="20"/>
        <w:adjustRightInd w:val="0"/>
        <w:snapToGrid w:val="0"/>
        <w:spacing w:line="440" w:lineRule="exact"/>
        <w:jc w:val="left"/>
        <w:rPr>
          <w:rFonts w:ascii="仿宋" w:eastAsia="仿宋" w:hAnsi="仿宋" w:cs="仿宋"/>
          <w:sz w:val="28"/>
          <w:szCs w:val="28"/>
        </w:rPr>
      </w:pPr>
      <w:r>
        <w:rPr>
          <w:rFonts w:asciiTheme="minorEastAsia" w:eastAsiaTheme="minorEastAsia" w:hAnsiTheme="minorEastAsia" w:cstheme="minorEastAsia" w:hint="eastAsia"/>
          <w:sz w:val="24"/>
        </w:rPr>
        <w:t>二、2020年重点工作完成情况....................................</w:t>
      </w:r>
      <w:r>
        <w:rPr>
          <w:rFonts w:ascii="仿宋" w:eastAsia="仿宋" w:hAnsi="仿宋" w:cs="仿宋" w:hint="eastAsia"/>
          <w:sz w:val="28"/>
          <w:szCs w:val="28"/>
        </w:rPr>
        <w:t>4</w:t>
      </w:r>
    </w:p>
    <w:p w:rsidR="00F84626" w:rsidRDefault="00D84D17">
      <w:pPr>
        <w:spacing w:line="440" w:lineRule="exact"/>
      </w:pPr>
      <w:r>
        <w:rPr>
          <w:rFonts w:ascii="宋体" w:hAnsi="宋体" w:hint="eastAsia"/>
          <w:sz w:val="24"/>
        </w:rPr>
        <w:t xml:space="preserve">   </w:t>
      </w:r>
      <w:r w:rsidR="00072B79">
        <w:rPr>
          <w:rFonts w:ascii="宋体" w:hAnsi="宋体" w:hint="eastAsia"/>
          <w:sz w:val="24"/>
        </w:rPr>
        <w:t>三、机构设置情况</w:t>
      </w:r>
      <w:r w:rsidR="00072B79">
        <w:rPr>
          <w:rFonts w:ascii="宋体" w:hAnsi="宋体" w:cs="仿宋" w:hint="eastAsia"/>
          <w:sz w:val="24"/>
        </w:rPr>
        <w:t>.</w:t>
      </w:r>
      <w:r w:rsidR="00072B79">
        <w:rPr>
          <w:rFonts w:ascii="仿宋" w:eastAsia="仿宋" w:hAnsi="仿宋" w:cs="仿宋" w:hint="eastAsia"/>
          <w:sz w:val="24"/>
        </w:rPr>
        <w:t>..............................................6</w:t>
      </w:r>
    </w:p>
    <w:p w:rsidR="00F84626" w:rsidRDefault="00072B79">
      <w:pPr>
        <w:pStyle w:val="10"/>
        <w:adjustRightInd w:val="0"/>
        <w:snapToGrid w:val="0"/>
        <w:spacing w:before="0" w:line="440" w:lineRule="exact"/>
        <w:jc w:val="left"/>
      </w:pPr>
      <w:r>
        <w:rPr>
          <w:rFonts w:hint="eastAsia"/>
          <w:sz w:val="24"/>
        </w:rPr>
        <w:t>第二部分 2020年度部门决算情况说明................................</w:t>
      </w:r>
      <w:r>
        <w:rPr>
          <w:rFonts w:hint="eastAsia"/>
        </w:rPr>
        <w:t>7</w:t>
      </w:r>
    </w:p>
    <w:p w:rsidR="00F84626" w:rsidRDefault="00072B79">
      <w:pPr>
        <w:pStyle w:val="20"/>
        <w:adjustRightInd w:val="0"/>
        <w:snapToGrid w:val="0"/>
        <w:spacing w:line="440" w:lineRule="exact"/>
        <w:jc w:val="left"/>
        <w:rPr>
          <w:rFonts w:ascii="仿宋" w:eastAsia="仿宋" w:hAnsi="仿宋" w:cs="仿宋"/>
          <w:sz w:val="28"/>
          <w:szCs w:val="28"/>
        </w:rPr>
      </w:pPr>
      <w:r>
        <w:rPr>
          <w:rFonts w:hint="eastAsia"/>
          <w:sz w:val="24"/>
        </w:rPr>
        <w:t>一、收入支出决算总体情况说明</w:t>
      </w:r>
      <w:r>
        <w:rPr>
          <w:rFonts w:hint="eastAsia"/>
          <w:sz w:val="24"/>
        </w:rPr>
        <w:t>....................................................................</w:t>
      </w:r>
      <w:r>
        <w:rPr>
          <w:rFonts w:ascii="仿宋" w:eastAsia="仿宋" w:hAnsi="仿宋" w:cs="仿宋" w:hint="eastAsia"/>
          <w:sz w:val="28"/>
          <w:szCs w:val="28"/>
        </w:rPr>
        <w:t>7</w:t>
      </w:r>
    </w:p>
    <w:p w:rsidR="00F84626" w:rsidRDefault="00072B79">
      <w:pPr>
        <w:pStyle w:val="20"/>
        <w:adjustRightInd w:val="0"/>
        <w:snapToGrid w:val="0"/>
        <w:spacing w:line="440" w:lineRule="exact"/>
        <w:jc w:val="left"/>
        <w:rPr>
          <w:rFonts w:ascii="仿宋" w:hAnsi="仿宋" w:cs="仿宋"/>
          <w:sz w:val="28"/>
          <w:szCs w:val="28"/>
        </w:rPr>
      </w:pPr>
      <w:r>
        <w:rPr>
          <w:rFonts w:hint="eastAsia"/>
          <w:sz w:val="24"/>
        </w:rPr>
        <w:t>二、收入决算情况说明</w:t>
      </w:r>
      <w:r>
        <w:rPr>
          <w:rFonts w:hint="eastAsia"/>
          <w:sz w:val="24"/>
        </w:rPr>
        <w:t>....................................................................................</w:t>
      </w:r>
      <w:r>
        <w:rPr>
          <w:rFonts w:ascii="仿宋" w:eastAsia="仿宋" w:hAnsi="仿宋" w:cs="仿宋" w:hint="eastAsia"/>
          <w:sz w:val="28"/>
          <w:szCs w:val="28"/>
        </w:rPr>
        <w:t>7</w:t>
      </w:r>
    </w:p>
    <w:p w:rsidR="00F84626" w:rsidRDefault="00072B79">
      <w:pPr>
        <w:pStyle w:val="20"/>
        <w:adjustRightInd w:val="0"/>
        <w:snapToGrid w:val="0"/>
        <w:spacing w:line="440" w:lineRule="exact"/>
        <w:jc w:val="left"/>
        <w:rPr>
          <w:rFonts w:ascii="仿宋" w:eastAsia="仿宋" w:hAnsi="仿宋" w:cs="仿宋"/>
          <w:sz w:val="24"/>
        </w:rPr>
      </w:pPr>
      <w:r>
        <w:rPr>
          <w:rFonts w:hint="eastAsia"/>
          <w:sz w:val="24"/>
        </w:rPr>
        <w:t>三、支出决算情况说明</w:t>
      </w:r>
      <w:r>
        <w:rPr>
          <w:rFonts w:hint="eastAsia"/>
          <w:sz w:val="24"/>
        </w:rPr>
        <w:t>....................................................................................</w:t>
      </w:r>
      <w:r>
        <w:rPr>
          <w:rFonts w:ascii="仿宋" w:eastAsia="仿宋" w:hAnsi="仿宋" w:cs="仿宋" w:hint="eastAsia"/>
          <w:sz w:val="28"/>
          <w:szCs w:val="28"/>
        </w:rPr>
        <w:t>8</w:t>
      </w:r>
    </w:p>
    <w:p w:rsidR="00F84626" w:rsidRDefault="00072B79">
      <w:pPr>
        <w:pStyle w:val="20"/>
        <w:adjustRightInd w:val="0"/>
        <w:snapToGrid w:val="0"/>
        <w:spacing w:line="440" w:lineRule="exact"/>
        <w:jc w:val="left"/>
        <w:rPr>
          <w:rFonts w:ascii="仿宋" w:hAnsi="仿宋" w:cs="仿宋"/>
          <w:sz w:val="28"/>
          <w:szCs w:val="28"/>
        </w:rPr>
      </w:pPr>
      <w:r>
        <w:rPr>
          <w:rFonts w:hint="eastAsia"/>
          <w:sz w:val="24"/>
        </w:rPr>
        <w:t>四、财政拨款收入支出决算总体情况说明</w:t>
      </w:r>
      <w:r>
        <w:rPr>
          <w:rFonts w:hint="eastAsia"/>
          <w:sz w:val="24"/>
        </w:rPr>
        <w:t>....................................................</w:t>
      </w:r>
      <w:r>
        <w:rPr>
          <w:rFonts w:ascii="仿宋" w:eastAsia="仿宋" w:hAnsi="仿宋" w:cs="仿宋" w:hint="eastAsia"/>
          <w:sz w:val="28"/>
          <w:szCs w:val="28"/>
        </w:rPr>
        <w:t>9</w:t>
      </w:r>
    </w:p>
    <w:p w:rsidR="00F84626" w:rsidRDefault="00072B79">
      <w:pPr>
        <w:pStyle w:val="20"/>
        <w:adjustRightInd w:val="0"/>
        <w:snapToGrid w:val="0"/>
        <w:spacing w:line="440" w:lineRule="exact"/>
        <w:jc w:val="left"/>
        <w:rPr>
          <w:rFonts w:ascii="仿宋" w:hAnsi="仿宋" w:cs="仿宋"/>
          <w:sz w:val="28"/>
          <w:szCs w:val="28"/>
        </w:rPr>
      </w:pPr>
      <w:r>
        <w:rPr>
          <w:rFonts w:hint="eastAsia"/>
          <w:sz w:val="24"/>
        </w:rPr>
        <w:t>五、一般公共预算财政拨款支出决算情况说明</w:t>
      </w:r>
      <w:r>
        <w:rPr>
          <w:rFonts w:hint="eastAsia"/>
          <w:sz w:val="24"/>
        </w:rPr>
        <w:t>............................................</w:t>
      </w:r>
      <w:r>
        <w:rPr>
          <w:rFonts w:ascii="仿宋" w:eastAsia="仿宋" w:hAnsi="仿宋" w:cs="仿宋" w:hint="eastAsia"/>
          <w:sz w:val="28"/>
          <w:szCs w:val="28"/>
        </w:rPr>
        <w:t>9</w:t>
      </w:r>
    </w:p>
    <w:p w:rsidR="00F84626" w:rsidRDefault="00072B79">
      <w:pPr>
        <w:pStyle w:val="20"/>
        <w:adjustRightInd w:val="0"/>
        <w:snapToGrid w:val="0"/>
        <w:spacing w:line="440" w:lineRule="exact"/>
        <w:jc w:val="left"/>
        <w:rPr>
          <w:rFonts w:ascii="仿宋" w:eastAsia="仿宋" w:hAnsi="仿宋" w:cs="仿宋"/>
          <w:sz w:val="28"/>
          <w:szCs w:val="28"/>
        </w:rPr>
      </w:pPr>
      <w:r>
        <w:rPr>
          <w:rFonts w:hint="eastAsia"/>
          <w:sz w:val="24"/>
        </w:rPr>
        <w:t>六、一般公共预算财政拨款基本支出决算情况说明</w:t>
      </w:r>
      <w:r>
        <w:rPr>
          <w:rFonts w:hint="eastAsia"/>
          <w:sz w:val="24"/>
        </w:rPr>
        <w:t>....................................</w:t>
      </w:r>
      <w:r>
        <w:rPr>
          <w:rFonts w:ascii="仿宋" w:eastAsia="仿宋" w:hAnsi="仿宋" w:cs="仿宋" w:hint="eastAsia"/>
          <w:sz w:val="28"/>
          <w:szCs w:val="28"/>
        </w:rPr>
        <w:t>12</w:t>
      </w:r>
    </w:p>
    <w:p w:rsidR="00F84626" w:rsidRDefault="00072B79">
      <w:pPr>
        <w:pStyle w:val="20"/>
        <w:adjustRightInd w:val="0"/>
        <w:snapToGrid w:val="0"/>
        <w:spacing w:line="440" w:lineRule="exact"/>
        <w:jc w:val="left"/>
        <w:rPr>
          <w:rFonts w:ascii="仿宋" w:eastAsia="仿宋" w:hAnsi="仿宋" w:cs="仿宋"/>
          <w:sz w:val="28"/>
          <w:szCs w:val="28"/>
        </w:rPr>
      </w:pPr>
      <w:r>
        <w:rPr>
          <w:rFonts w:hint="eastAsia"/>
          <w:sz w:val="24"/>
        </w:rPr>
        <w:t>七、</w:t>
      </w:r>
      <w:r>
        <w:rPr>
          <w:sz w:val="24"/>
        </w:rPr>
        <w:t>“</w:t>
      </w:r>
      <w:r>
        <w:rPr>
          <w:rFonts w:hint="eastAsia"/>
          <w:sz w:val="24"/>
        </w:rPr>
        <w:t>三公”经费财政拨款支出决算情况说明</w:t>
      </w:r>
      <w:r>
        <w:rPr>
          <w:rFonts w:hint="eastAsia"/>
          <w:sz w:val="24"/>
        </w:rPr>
        <w:t>..............................................</w:t>
      </w:r>
      <w:r>
        <w:rPr>
          <w:rFonts w:ascii="仿宋" w:eastAsia="仿宋" w:hAnsi="仿宋" w:cs="仿宋" w:hint="eastAsia"/>
          <w:sz w:val="28"/>
          <w:szCs w:val="28"/>
        </w:rPr>
        <w:t>13</w:t>
      </w:r>
    </w:p>
    <w:p w:rsidR="00F84626" w:rsidRDefault="00072B79">
      <w:pPr>
        <w:pStyle w:val="20"/>
        <w:adjustRightInd w:val="0"/>
        <w:snapToGrid w:val="0"/>
        <w:spacing w:line="440" w:lineRule="exact"/>
        <w:jc w:val="left"/>
        <w:rPr>
          <w:sz w:val="24"/>
        </w:rPr>
      </w:pPr>
      <w:r>
        <w:rPr>
          <w:rFonts w:hint="eastAsia"/>
          <w:sz w:val="24"/>
        </w:rPr>
        <w:t>八、政府性基金预算支出决算情况说明</w:t>
      </w:r>
      <w:r>
        <w:rPr>
          <w:rFonts w:hint="eastAsia"/>
          <w:sz w:val="24"/>
        </w:rPr>
        <w:t>........................................................</w:t>
      </w:r>
      <w:r w:rsidR="004E4A3D">
        <w:rPr>
          <w:rFonts w:ascii="仿宋" w:hAnsi="仿宋" w:cstheme="minorBidi" w:hint="eastAsia"/>
          <w:sz w:val="28"/>
          <w:szCs w:val="28"/>
        </w:rPr>
        <w:t>1</w:t>
      </w:r>
      <w:r w:rsidR="004B603A">
        <w:rPr>
          <w:rFonts w:ascii="仿宋" w:hAnsi="仿宋" w:cstheme="minorBidi" w:hint="eastAsia"/>
          <w:sz w:val="28"/>
          <w:szCs w:val="28"/>
        </w:rPr>
        <w:t>4</w:t>
      </w:r>
      <w:r>
        <w:rPr>
          <w:rFonts w:hint="eastAsia"/>
          <w:sz w:val="24"/>
        </w:rPr>
        <w:t>九、国有资本经营预算支出决算情况说明</w:t>
      </w:r>
      <w:r>
        <w:rPr>
          <w:rFonts w:hint="eastAsia"/>
          <w:sz w:val="24"/>
        </w:rPr>
        <w:t>....................................................</w:t>
      </w:r>
      <w:r>
        <w:rPr>
          <w:rFonts w:ascii="仿宋" w:hAnsi="仿宋" w:cstheme="minorBidi" w:hint="eastAsia"/>
          <w:sz w:val="28"/>
          <w:szCs w:val="28"/>
        </w:rPr>
        <w:t>15</w:t>
      </w:r>
    </w:p>
    <w:p w:rsidR="00F84626" w:rsidRDefault="00072B79">
      <w:pPr>
        <w:pStyle w:val="20"/>
        <w:adjustRightInd w:val="0"/>
        <w:snapToGrid w:val="0"/>
        <w:spacing w:line="440" w:lineRule="exact"/>
        <w:jc w:val="left"/>
        <w:rPr>
          <w:sz w:val="24"/>
        </w:rPr>
      </w:pPr>
      <w:r>
        <w:rPr>
          <w:rFonts w:hint="eastAsia"/>
          <w:sz w:val="24"/>
        </w:rPr>
        <w:t>十、其他重要事项的情况说明</w:t>
      </w:r>
      <w:r>
        <w:rPr>
          <w:rFonts w:hint="eastAsia"/>
          <w:sz w:val="24"/>
        </w:rPr>
        <w:t>........................................................................</w:t>
      </w:r>
      <w:r>
        <w:rPr>
          <w:rFonts w:ascii="仿宋" w:hAnsi="仿宋" w:cstheme="minorBidi" w:hint="eastAsia"/>
          <w:sz w:val="28"/>
          <w:szCs w:val="28"/>
        </w:rPr>
        <w:t>15</w:t>
      </w:r>
    </w:p>
    <w:p w:rsidR="00F84626" w:rsidRDefault="00072B79">
      <w:pPr>
        <w:pStyle w:val="10"/>
        <w:adjustRightInd w:val="0"/>
        <w:snapToGrid w:val="0"/>
        <w:spacing w:before="0" w:line="440" w:lineRule="exact"/>
        <w:jc w:val="left"/>
        <w:rPr>
          <w:rFonts w:cstheme="minorBidi"/>
        </w:rPr>
      </w:pPr>
      <w:r>
        <w:rPr>
          <w:rFonts w:hint="eastAsia"/>
          <w:sz w:val="24"/>
        </w:rPr>
        <w:t>第三部分名词解释.................................................</w:t>
      </w:r>
      <w:r>
        <w:rPr>
          <w:rFonts w:hint="eastAsia"/>
        </w:rPr>
        <w:t>17</w:t>
      </w:r>
    </w:p>
    <w:p w:rsidR="00F84626" w:rsidRDefault="00DF7D3F">
      <w:pPr>
        <w:pStyle w:val="10"/>
        <w:adjustRightInd w:val="0"/>
        <w:snapToGrid w:val="0"/>
        <w:spacing w:before="0" w:line="440" w:lineRule="exact"/>
        <w:jc w:val="left"/>
        <w:rPr>
          <w:rFonts w:cstheme="minorBidi"/>
        </w:rPr>
      </w:pPr>
      <w:r>
        <w:rPr>
          <w:rFonts w:hint="eastAsia"/>
          <w:sz w:val="24"/>
        </w:rPr>
        <w:t>第四部分附表</w:t>
      </w:r>
      <w:r w:rsidR="00072B79">
        <w:rPr>
          <w:rFonts w:hint="eastAsia"/>
          <w:sz w:val="24"/>
        </w:rPr>
        <w:t>.....................................................</w:t>
      </w:r>
      <w:r w:rsidR="00072B79">
        <w:rPr>
          <w:rFonts w:hint="eastAsia"/>
        </w:rPr>
        <w:t>20</w:t>
      </w:r>
    </w:p>
    <w:p w:rsidR="00F84626" w:rsidRDefault="00072B79">
      <w:pPr>
        <w:pStyle w:val="20"/>
        <w:adjustRightInd w:val="0"/>
        <w:snapToGrid w:val="0"/>
        <w:spacing w:line="440" w:lineRule="exact"/>
        <w:jc w:val="left"/>
        <w:rPr>
          <w:sz w:val="24"/>
        </w:rPr>
      </w:pPr>
      <w:r>
        <w:rPr>
          <w:rFonts w:hint="eastAsia"/>
          <w:sz w:val="24"/>
        </w:rPr>
        <w:t>一、收入支出决算总表</w:t>
      </w:r>
    </w:p>
    <w:p w:rsidR="00F84626" w:rsidRDefault="00072B79">
      <w:pPr>
        <w:pStyle w:val="20"/>
        <w:adjustRightInd w:val="0"/>
        <w:snapToGrid w:val="0"/>
        <w:spacing w:line="440" w:lineRule="exact"/>
        <w:jc w:val="left"/>
        <w:rPr>
          <w:sz w:val="24"/>
        </w:rPr>
      </w:pPr>
      <w:r>
        <w:rPr>
          <w:rFonts w:hint="eastAsia"/>
          <w:sz w:val="24"/>
        </w:rPr>
        <w:t>二、收入决算表</w:t>
      </w:r>
    </w:p>
    <w:p w:rsidR="00F84626" w:rsidRDefault="00072B79">
      <w:pPr>
        <w:pStyle w:val="20"/>
        <w:adjustRightInd w:val="0"/>
        <w:snapToGrid w:val="0"/>
        <w:spacing w:line="440" w:lineRule="exact"/>
        <w:jc w:val="left"/>
        <w:rPr>
          <w:sz w:val="24"/>
        </w:rPr>
      </w:pPr>
      <w:r>
        <w:rPr>
          <w:rFonts w:hint="eastAsia"/>
          <w:sz w:val="24"/>
        </w:rPr>
        <w:t>三、支出决算表</w:t>
      </w:r>
    </w:p>
    <w:p w:rsidR="00F84626" w:rsidRDefault="00072B79">
      <w:pPr>
        <w:pStyle w:val="20"/>
        <w:adjustRightInd w:val="0"/>
        <w:snapToGrid w:val="0"/>
        <w:spacing w:line="440" w:lineRule="exact"/>
        <w:jc w:val="left"/>
        <w:rPr>
          <w:sz w:val="24"/>
        </w:rPr>
      </w:pPr>
      <w:r>
        <w:rPr>
          <w:rFonts w:hint="eastAsia"/>
          <w:sz w:val="24"/>
        </w:rPr>
        <w:t>四、财政拨款收入支出决算总表</w:t>
      </w:r>
    </w:p>
    <w:p w:rsidR="00F84626" w:rsidRDefault="00072B79">
      <w:pPr>
        <w:pStyle w:val="20"/>
        <w:adjustRightInd w:val="0"/>
        <w:snapToGrid w:val="0"/>
        <w:spacing w:line="440" w:lineRule="exact"/>
        <w:jc w:val="left"/>
        <w:rPr>
          <w:sz w:val="24"/>
        </w:rPr>
      </w:pPr>
      <w:r>
        <w:rPr>
          <w:rFonts w:hint="eastAsia"/>
          <w:sz w:val="24"/>
        </w:rPr>
        <w:t>五、财政拨款支出决算明细表</w:t>
      </w:r>
    </w:p>
    <w:p w:rsidR="00F84626" w:rsidRDefault="00072B79">
      <w:pPr>
        <w:pStyle w:val="20"/>
        <w:adjustRightInd w:val="0"/>
        <w:snapToGrid w:val="0"/>
        <w:spacing w:line="440" w:lineRule="exact"/>
        <w:jc w:val="left"/>
        <w:rPr>
          <w:sz w:val="24"/>
        </w:rPr>
      </w:pPr>
      <w:r>
        <w:rPr>
          <w:rFonts w:hint="eastAsia"/>
          <w:sz w:val="24"/>
        </w:rPr>
        <w:t>六、一般公共预算财政拨款支出决算表</w:t>
      </w:r>
    </w:p>
    <w:p w:rsidR="00F84626" w:rsidRDefault="00072B79">
      <w:pPr>
        <w:pStyle w:val="20"/>
        <w:adjustRightInd w:val="0"/>
        <w:snapToGrid w:val="0"/>
        <w:spacing w:line="440" w:lineRule="exact"/>
        <w:jc w:val="left"/>
        <w:rPr>
          <w:sz w:val="24"/>
        </w:rPr>
      </w:pPr>
      <w:r>
        <w:rPr>
          <w:rFonts w:hint="eastAsia"/>
          <w:sz w:val="24"/>
        </w:rPr>
        <w:t>七、一般公共预算财政拨款支出决算明细表</w:t>
      </w:r>
    </w:p>
    <w:p w:rsidR="00F84626" w:rsidRDefault="00072B79">
      <w:pPr>
        <w:pStyle w:val="20"/>
        <w:adjustRightInd w:val="0"/>
        <w:snapToGrid w:val="0"/>
        <w:spacing w:line="440" w:lineRule="exact"/>
        <w:jc w:val="left"/>
        <w:rPr>
          <w:sz w:val="24"/>
        </w:rPr>
      </w:pPr>
      <w:r>
        <w:rPr>
          <w:rFonts w:hint="eastAsia"/>
          <w:sz w:val="24"/>
        </w:rPr>
        <w:t>八、一般公共预算财政拨款基本支出决算表</w:t>
      </w:r>
    </w:p>
    <w:p w:rsidR="00F84626" w:rsidRDefault="00072B79">
      <w:pPr>
        <w:pStyle w:val="20"/>
        <w:adjustRightInd w:val="0"/>
        <w:snapToGrid w:val="0"/>
        <w:spacing w:line="440" w:lineRule="exact"/>
        <w:jc w:val="left"/>
        <w:rPr>
          <w:sz w:val="24"/>
        </w:rPr>
      </w:pPr>
      <w:r>
        <w:rPr>
          <w:rFonts w:hint="eastAsia"/>
          <w:sz w:val="24"/>
        </w:rPr>
        <w:t>九、一般公共预算财政拨款项目支出决算表</w:t>
      </w:r>
    </w:p>
    <w:p w:rsidR="00F84626" w:rsidRDefault="00072B79">
      <w:pPr>
        <w:pStyle w:val="20"/>
        <w:adjustRightInd w:val="0"/>
        <w:snapToGrid w:val="0"/>
        <w:spacing w:line="440" w:lineRule="exact"/>
        <w:jc w:val="left"/>
        <w:rPr>
          <w:sz w:val="24"/>
        </w:rPr>
      </w:pPr>
      <w:r>
        <w:rPr>
          <w:rFonts w:hint="eastAsia"/>
          <w:sz w:val="24"/>
        </w:rPr>
        <w:lastRenderedPageBreak/>
        <w:t>十、一般公共预算财政拨款“三公”经费支出决算表</w:t>
      </w:r>
    </w:p>
    <w:p w:rsidR="00F84626" w:rsidRDefault="00072B79">
      <w:pPr>
        <w:pStyle w:val="20"/>
        <w:adjustRightInd w:val="0"/>
        <w:snapToGrid w:val="0"/>
        <w:spacing w:line="440" w:lineRule="exact"/>
        <w:jc w:val="left"/>
        <w:rPr>
          <w:sz w:val="24"/>
        </w:rPr>
      </w:pPr>
      <w:r>
        <w:rPr>
          <w:rFonts w:hint="eastAsia"/>
          <w:sz w:val="24"/>
        </w:rPr>
        <w:t>十一、政府性基金预算财政拨款收入支出决算表</w:t>
      </w:r>
    </w:p>
    <w:p w:rsidR="00F84626" w:rsidRDefault="00072B79">
      <w:pPr>
        <w:pStyle w:val="20"/>
        <w:adjustRightInd w:val="0"/>
        <w:snapToGrid w:val="0"/>
        <w:spacing w:line="440" w:lineRule="exact"/>
        <w:jc w:val="left"/>
        <w:rPr>
          <w:sz w:val="24"/>
        </w:rPr>
      </w:pPr>
      <w:r>
        <w:rPr>
          <w:rFonts w:hint="eastAsia"/>
          <w:sz w:val="24"/>
        </w:rPr>
        <w:t>十二、政府性基金预算财政拨款“三公”经费支出决算表</w:t>
      </w:r>
    </w:p>
    <w:p w:rsidR="00F84626" w:rsidRDefault="00072B79">
      <w:pPr>
        <w:pStyle w:val="20"/>
        <w:adjustRightInd w:val="0"/>
        <w:snapToGrid w:val="0"/>
        <w:spacing w:line="440" w:lineRule="exact"/>
        <w:jc w:val="left"/>
        <w:rPr>
          <w:sz w:val="24"/>
        </w:rPr>
      </w:pPr>
      <w:r>
        <w:rPr>
          <w:rFonts w:hint="eastAsia"/>
          <w:sz w:val="24"/>
        </w:rPr>
        <w:t>十三、国有资本经营预算财政拨款收入支出决算表</w:t>
      </w:r>
    </w:p>
    <w:p w:rsidR="00F84626" w:rsidRDefault="00072B79">
      <w:pPr>
        <w:pStyle w:val="20"/>
        <w:adjustRightInd w:val="0"/>
        <w:snapToGrid w:val="0"/>
        <w:spacing w:line="440" w:lineRule="exact"/>
        <w:jc w:val="left"/>
        <w:rPr>
          <w:sz w:val="24"/>
        </w:rPr>
      </w:pPr>
      <w:r>
        <w:rPr>
          <w:rFonts w:hint="eastAsia"/>
          <w:sz w:val="24"/>
        </w:rPr>
        <w:t>十四、国有资本经营预算财政拨款支出决算表</w:t>
      </w:r>
    </w:p>
    <w:p w:rsidR="00F84626" w:rsidRDefault="00F84626">
      <w:pPr>
        <w:widowControl/>
        <w:adjustRightInd w:val="0"/>
        <w:snapToGrid w:val="0"/>
        <w:spacing w:line="440" w:lineRule="exact"/>
        <w:ind w:firstLineChars="200" w:firstLine="640"/>
        <w:jc w:val="left"/>
        <w:rPr>
          <w:rFonts w:ascii="仿宋_GB2312" w:eastAsia="仿宋_GB2312" w:hAnsi="仿宋_GB2312" w:cs="仿宋_GB2312"/>
          <w:color w:val="0000FF"/>
          <w:sz w:val="32"/>
          <w:szCs w:val="32"/>
          <w:highlight w:val="yellow"/>
        </w:rPr>
      </w:pPr>
    </w:p>
    <w:p w:rsidR="00F84626" w:rsidRDefault="00072B79">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F84626" w:rsidRDefault="00072B79">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3"/>
      <w:bookmarkEnd w:id="14"/>
    </w:p>
    <w:p w:rsidR="00F84626" w:rsidRDefault="00F84626">
      <w:pPr>
        <w:widowControl/>
        <w:jc w:val="left"/>
        <w:rPr>
          <w:rFonts w:ascii="黑体" w:eastAsia="黑体"/>
          <w:sz w:val="32"/>
          <w:szCs w:val="32"/>
        </w:rPr>
      </w:pPr>
    </w:p>
    <w:p w:rsidR="00F84626" w:rsidRDefault="00072B79">
      <w:pPr>
        <w:pStyle w:val="2"/>
        <w:numPr>
          <w:ilvl w:val="0"/>
          <w:numId w:val="1"/>
        </w:numPr>
      </w:pPr>
      <w:bookmarkStart w:id="15" w:name="_Toc15396600"/>
      <w:bookmarkStart w:id="16" w:name="_Toc15377197"/>
      <w:r>
        <w:rPr>
          <w:rStyle w:val="2Char"/>
          <w:rFonts w:ascii="黑体" w:eastAsia="黑体" w:hAnsi="黑体" w:hint="eastAsia"/>
        </w:rPr>
        <w:t>职能简介</w:t>
      </w:r>
    </w:p>
    <w:p w:rsidR="00F84626" w:rsidRDefault="00072B79">
      <w:pPr>
        <w:pStyle w:val="a7"/>
        <w:widowControl/>
        <w:spacing w:before="76" w:beforeAutospacing="0" w:after="76" w:afterAutospacing="0" w:line="580" w:lineRule="atLeast"/>
        <w:ind w:firstLineChars="200" w:firstLine="640"/>
        <w:textAlignment w:val="baseline"/>
        <w:rPr>
          <w:rFonts w:ascii="仿宋" w:eastAsia="仿宋" w:hAnsi="仿宋" w:cs="仿宋"/>
          <w:b/>
          <w:bCs/>
          <w:color w:val="FF0000"/>
        </w:rPr>
      </w:pPr>
      <w:r>
        <w:rPr>
          <w:rFonts w:ascii="仿宋" w:eastAsia="仿宋" w:hAnsi="仿宋" w:cs="仿宋" w:hint="eastAsia"/>
          <w:kern w:val="2"/>
          <w:sz w:val="32"/>
          <w:szCs w:val="32"/>
        </w:rPr>
        <w:t>至诚监狱是国家刑罚执行机关，具有惩罚改造罪犯，维护社会稳定的职能。监狱坚持以习近平新时代中国特色社会主义思想为指导，统筹推进政治改造为统领的“五大改造”新格局。紧紧围绕省监狱管理局“五年三步走”战略和“五大体系”建设目标任务，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至诚监狱早日建成法德兼治的新型现代文明监狱，为建设美丽繁荣和谐四川，推动治蜀兴川再上新台阶</w:t>
      </w:r>
      <w:proofErr w:type="gramStart"/>
      <w:r>
        <w:rPr>
          <w:rFonts w:ascii="仿宋" w:eastAsia="仿宋" w:hAnsi="仿宋" w:cs="仿宋" w:hint="eastAsia"/>
          <w:kern w:val="2"/>
          <w:sz w:val="32"/>
          <w:szCs w:val="32"/>
        </w:rPr>
        <w:t>作出</w:t>
      </w:r>
      <w:proofErr w:type="gramEnd"/>
      <w:r>
        <w:rPr>
          <w:rFonts w:ascii="仿宋" w:eastAsia="仿宋" w:hAnsi="仿宋" w:cs="仿宋" w:hint="eastAsia"/>
          <w:kern w:val="2"/>
          <w:sz w:val="32"/>
          <w:szCs w:val="32"/>
        </w:rPr>
        <w:t>新的更大的贡献。</w:t>
      </w:r>
    </w:p>
    <w:p w:rsidR="00F84626" w:rsidRDefault="00072B79">
      <w:pPr>
        <w:pStyle w:val="2"/>
        <w:numPr>
          <w:ilvl w:val="0"/>
          <w:numId w:val="1"/>
        </w:numPr>
        <w:rPr>
          <w:rFonts w:ascii="黑体" w:eastAsia="黑体" w:hAnsi="黑体"/>
          <w:b w:val="0"/>
        </w:rPr>
      </w:pPr>
      <w:r>
        <w:rPr>
          <w:rFonts w:ascii="黑体" w:eastAsia="黑体" w:hAnsi="黑体" w:hint="eastAsia"/>
          <w:b w:val="0"/>
        </w:rPr>
        <w:t>2020年重点工作</w:t>
      </w:r>
      <w:bookmarkEnd w:id="15"/>
      <w:bookmarkEnd w:id="16"/>
      <w:r>
        <w:rPr>
          <w:rFonts w:ascii="黑体" w:eastAsia="黑体" w:hAnsi="黑体" w:hint="eastAsia"/>
          <w:b w:val="0"/>
        </w:rPr>
        <w:t>完成情况</w:t>
      </w:r>
    </w:p>
    <w:p w:rsidR="00F84626" w:rsidRDefault="00072B79">
      <w:pPr>
        <w:spacing w:line="576" w:lineRule="exact"/>
        <w:ind w:firstLineChars="200" w:firstLine="643"/>
        <w:rPr>
          <w:rFonts w:ascii="仿宋" w:eastAsia="仿宋" w:hAnsi="仿宋"/>
          <w:sz w:val="32"/>
        </w:rPr>
      </w:pPr>
      <w:r>
        <w:rPr>
          <w:rFonts w:ascii="仿宋" w:eastAsia="仿宋" w:hAnsi="仿宋" w:cs="仿宋" w:hint="eastAsia"/>
          <w:b/>
          <w:bCs/>
          <w:sz w:val="32"/>
        </w:rPr>
        <w:t>（一）党建工作。</w:t>
      </w:r>
      <w:r>
        <w:rPr>
          <w:rFonts w:ascii="仿宋" w:eastAsia="仿宋" w:hAnsi="仿宋" w:hint="eastAsia"/>
          <w:sz w:val="32"/>
        </w:rPr>
        <w:t>坚定推进全面从严治党，坚决落实新时代党的建设总要求，把维护党中央权威和集中统一领导作为最高政治原则和根本政治规矩来执行，始终在思想上政治上同以习近平同志为核心的党中央保持高度一致。</w:t>
      </w:r>
    </w:p>
    <w:p w:rsidR="00F84626" w:rsidRDefault="00072B79">
      <w:pPr>
        <w:spacing w:line="576" w:lineRule="exact"/>
        <w:ind w:firstLineChars="200" w:firstLine="643"/>
        <w:rPr>
          <w:rFonts w:ascii="仿宋" w:eastAsia="仿宋" w:hAnsi="仿宋"/>
          <w:sz w:val="32"/>
        </w:rPr>
      </w:pPr>
      <w:r>
        <w:rPr>
          <w:rFonts w:ascii="仿宋" w:eastAsia="仿宋" w:hAnsi="仿宋" w:cs="仿宋" w:hint="eastAsia"/>
          <w:b/>
          <w:bCs/>
          <w:sz w:val="32"/>
        </w:rPr>
        <w:t>（二）党风廉政建设和反腐败工作。</w:t>
      </w:r>
      <w:r>
        <w:rPr>
          <w:rFonts w:ascii="仿宋" w:eastAsia="仿宋" w:hAnsi="仿宋" w:hint="eastAsia"/>
          <w:sz w:val="32"/>
        </w:rPr>
        <w:t>坚持“党委统一领</w:t>
      </w:r>
      <w:r>
        <w:rPr>
          <w:rFonts w:ascii="仿宋" w:eastAsia="仿宋" w:hAnsi="仿宋" w:hint="eastAsia"/>
          <w:sz w:val="32"/>
        </w:rPr>
        <w:lastRenderedPageBreak/>
        <w:t>导、党政齐抓共管、纪检组织协调、部门各负其责、责任落实到人”的工作运行机制，严格执行“一岗双责”和“谁主管、谁负责”的原则，定期分析民警的思想动态，及时了解掌握全狱廉政建设工作态势，预防民警队伍可能出现的违法违纪行为。积极整改厅局巡察组提出的问题。</w:t>
      </w:r>
    </w:p>
    <w:p w:rsidR="00F84626" w:rsidRDefault="00072B79">
      <w:pPr>
        <w:spacing w:line="576" w:lineRule="exact"/>
        <w:ind w:firstLineChars="200" w:firstLine="643"/>
        <w:rPr>
          <w:rFonts w:ascii="仿宋" w:eastAsia="仿宋" w:hAnsi="仿宋"/>
          <w:sz w:val="32"/>
        </w:rPr>
      </w:pPr>
      <w:r>
        <w:rPr>
          <w:rFonts w:ascii="仿宋" w:eastAsia="仿宋" w:hAnsi="仿宋" w:cs="仿宋" w:hint="eastAsia"/>
          <w:b/>
          <w:bCs/>
          <w:sz w:val="32"/>
        </w:rPr>
        <w:t>（三）民警职工队伍管理工作。</w:t>
      </w:r>
      <w:r>
        <w:rPr>
          <w:rFonts w:ascii="仿宋" w:eastAsia="仿宋" w:hAnsi="仿宋" w:hint="eastAsia"/>
          <w:sz w:val="32"/>
        </w:rPr>
        <w:t>深化四川监狱人民警察“十严禁”等铁</w:t>
      </w:r>
      <w:proofErr w:type="gramStart"/>
      <w:r>
        <w:rPr>
          <w:rFonts w:ascii="仿宋" w:eastAsia="仿宋" w:hAnsi="仿宋" w:hint="eastAsia"/>
          <w:sz w:val="32"/>
        </w:rPr>
        <w:t>规</w:t>
      </w:r>
      <w:proofErr w:type="gramEnd"/>
      <w:r>
        <w:rPr>
          <w:rFonts w:ascii="仿宋" w:eastAsia="仿宋" w:hAnsi="仿宋" w:hint="eastAsia"/>
          <w:sz w:val="32"/>
        </w:rPr>
        <w:t>禁令，严格民警8小时以外管理，教育引导民警讲政治、守规矩，讲大局、守纪律，强化理想信念、形势政策教育和职业道德教育，树立四种意识，坚持四个自信，做到两个维护，铸就绝对忠诚的政治品格，正风</w:t>
      </w:r>
      <w:proofErr w:type="gramStart"/>
      <w:r>
        <w:rPr>
          <w:rFonts w:ascii="仿宋" w:eastAsia="仿宋" w:hAnsi="仿宋" w:hint="eastAsia"/>
          <w:sz w:val="32"/>
        </w:rPr>
        <w:t>肃</w:t>
      </w:r>
      <w:proofErr w:type="gramEnd"/>
      <w:r>
        <w:rPr>
          <w:rFonts w:ascii="仿宋" w:eastAsia="仿宋" w:hAnsi="仿宋" w:hint="eastAsia"/>
          <w:sz w:val="32"/>
        </w:rPr>
        <w:t>纪，全面深化纪律意识，切实增强队伍执行力。</w:t>
      </w:r>
    </w:p>
    <w:p w:rsidR="00F84626" w:rsidRDefault="00072B79">
      <w:pPr>
        <w:spacing w:line="576" w:lineRule="exact"/>
        <w:ind w:firstLineChars="200" w:firstLine="643"/>
        <w:rPr>
          <w:rFonts w:ascii="仿宋" w:eastAsia="仿宋" w:hAnsi="仿宋"/>
          <w:color w:val="000000"/>
          <w:sz w:val="32"/>
          <w:szCs w:val="32"/>
        </w:rPr>
      </w:pPr>
      <w:r>
        <w:rPr>
          <w:rFonts w:ascii="仿宋" w:eastAsia="仿宋" w:hAnsi="仿宋" w:cs="仿宋" w:hint="eastAsia"/>
          <w:b/>
          <w:bCs/>
          <w:color w:val="000000"/>
          <w:sz w:val="32"/>
          <w:szCs w:val="32"/>
        </w:rPr>
        <w:t>（四）新冠肺炎疫情防控工作。</w:t>
      </w:r>
      <w:r>
        <w:rPr>
          <w:rFonts w:ascii="仿宋" w:eastAsia="仿宋" w:hAnsi="仿宋" w:hint="eastAsia"/>
          <w:color w:val="000000"/>
          <w:sz w:val="32"/>
          <w:szCs w:val="32"/>
        </w:rPr>
        <w:t>深入贯彻落实党中央、国务院、省委省政府、司法部、省委政法委以及厅局关于新冠肺炎疫情防控各项决策部署，坚决贯彻落实监狱疫情防控领导小组和指挥部各项任务要求，依法防控、科学防治、精准施策，抓好卫生防疫、环境消杀等各项要求防控措施，确保监狱持续安全稳定。</w:t>
      </w:r>
    </w:p>
    <w:p w:rsidR="00F84626" w:rsidRDefault="00072B79">
      <w:pPr>
        <w:ind w:firstLineChars="200" w:firstLine="643"/>
        <w:rPr>
          <w:rFonts w:ascii="仿宋" w:eastAsia="仿宋" w:hAnsi="仿宋" w:cs="仿宋"/>
          <w:sz w:val="32"/>
          <w:szCs w:val="32"/>
        </w:rPr>
      </w:pPr>
      <w:r>
        <w:rPr>
          <w:rFonts w:ascii="仿宋" w:eastAsia="仿宋" w:hAnsi="仿宋" w:cs="仿宋" w:hint="eastAsia"/>
          <w:b/>
          <w:bCs/>
          <w:color w:val="000000"/>
          <w:sz w:val="32"/>
          <w:szCs w:val="32"/>
        </w:rPr>
        <w:t>（</w:t>
      </w:r>
      <w:r w:rsidR="001C0BFE">
        <w:rPr>
          <w:rFonts w:ascii="仿宋" w:eastAsia="仿宋" w:hAnsi="仿宋" w:cs="仿宋" w:hint="eastAsia"/>
          <w:b/>
          <w:bCs/>
          <w:color w:val="000000"/>
          <w:sz w:val="32"/>
          <w:szCs w:val="32"/>
        </w:rPr>
        <w:t>五</w:t>
      </w:r>
      <w:r>
        <w:rPr>
          <w:rFonts w:ascii="仿宋" w:eastAsia="仿宋" w:hAnsi="仿宋" w:cs="仿宋" w:hint="eastAsia"/>
          <w:b/>
          <w:bCs/>
          <w:color w:val="000000"/>
          <w:sz w:val="32"/>
          <w:szCs w:val="32"/>
        </w:rPr>
        <w:t>）加强财务管理工作。</w:t>
      </w:r>
      <w:r>
        <w:rPr>
          <w:rFonts w:ascii="仿宋" w:eastAsia="仿宋" w:hAnsi="仿宋" w:hint="eastAsia"/>
          <w:color w:val="000000"/>
          <w:sz w:val="32"/>
          <w:szCs w:val="32"/>
        </w:rPr>
        <w:t>强化部门预算执行，</w:t>
      </w:r>
      <w:r>
        <w:rPr>
          <w:rFonts w:ascii="仿宋" w:eastAsia="仿宋" w:hAnsi="仿宋" w:cs="仿宋" w:hint="eastAsia"/>
          <w:sz w:val="32"/>
          <w:szCs w:val="32"/>
        </w:rPr>
        <w:t>加强监狱经费管理；</w:t>
      </w:r>
      <w:r>
        <w:rPr>
          <w:rFonts w:ascii="仿宋" w:eastAsia="仿宋" w:hAnsi="仿宋" w:hint="eastAsia"/>
          <w:color w:val="000000"/>
          <w:sz w:val="32"/>
          <w:szCs w:val="32"/>
        </w:rPr>
        <w:t>合理有效使用资金，</w:t>
      </w:r>
      <w:r>
        <w:rPr>
          <w:rFonts w:ascii="仿宋" w:eastAsia="仿宋" w:hAnsi="仿宋" w:cs="仿宋" w:hint="eastAsia"/>
          <w:sz w:val="32"/>
          <w:szCs w:val="32"/>
        </w:rPr>
        <w:t>提高资金调控能力；加强资产管理，确保资产安全完整和信息真实，发挥资产使用效果；规范会计核算，强化会计监督；</w:t>
      </w:r>
      <w:r>
        <w:rPr>
          <w:rFonts w:ascii="仿宋" w:eastAsia="仿宋" w:hAnsi="仿宋" w:hint="eastAsia"/>
          <w:color w:val="000000"/>
          <w:sz w:val="32"/>
          <w:szCs w:val="32"/>
        </w:rPr>
        <w:t>加强政府采购和物质使用管理，强化内控制度执行；</w:t>
      </w:r>
      <w:r>
        <w:rPr>
          <w:rFonts w:ascii="仿宋" w:eastAsia="仿宋" w:hAnsi="仿宋" w:cs="仿宋" w:hint="eastAsia"/>
          <w:sz w:val="32"/>
          <w:szCs w:val="32"/>
        </w:rPr>
        <w:t>加强财会队伍建设，提高财会人员素质。</w:t>
      </w:r>
    </w:p>
    <w:p w:rsidR="00F84626" w:rsidRDefault="00072B79">
      <w:pPr>
        <w:pStyle w:val="2"/>
        <w:rPr>
          <w:rStyle w:val="bjh-p"/>
          <w:rFonts w:ascii="黑体" w:eastAsia="黑体" w:hAnsi="黑体" w:cs="Arial"/>
          <w:color w:val="333333"/>
        </w:rPr>
      </w:pPr>
      <w:r>
        <w:rPr>
          <w:rStyle w:val="bjh-p"/>
          <w:rFonts w:ascii="黑体" w:eastAsia="黑体" w:hAnsi="黑体" w:cs="Arial" w:hint="eastAsia"/>
          <w:color w:val="333333"/>
        </w:rPr>
        <w:lastRenderedPageBreak/>
        <w:t>三、机构设置情况</w:t>
      </w:r>
    </w:p>
    <w:p w:rsidR="00F84626" w:rsidRDefault="00072B79">
      <w:pPr>
        <w:rPr>
          <w:rFonts w:ascii="仿宋" w:eastAsia="仿宋" w:hAnsi="仿宋"/>
          <w:sz w:val="32"/>
          <w:szCs w:val="32"/>
        </w:rPr>
      </w:pPr>
      <w:r>
        <w:rPr>
          <w:rStyle w:val="bjh-p"/>
          <w:rFonts w:ascii="仿宋" w:eastAsia="仿宋" w:hAnsi="仿宋" w:cs="Arial" w:hint="eastAsia"/>
          <w:color w:val="333333"/>
          <w:sz w:val="32"/>
          <w:szCs w:val="32"/>
        </w:rPr>
        <w:t xml:space="preserve">    至诚监狱由8个内设机构组成，分别是：</w:t>
      </w:r>
      <w:r>
        <w:rPr>
          <w:rStyle w:val="bjh-p"/>
          <w:rFonts w:ascii="仿宋" w:eastAsia="仿宋" w:hAnsi="仿宋" w:cs="Arial" w:hint="eastAsia"/>
          <w:color w:val="000000" w:themeColor="text1"/>
          <w:sz w:val="32"/>
          <w:szCs w:val="32"/>
        </w:rPr>
        <w:t>办公室、生活卫生科、离退休人员管理科、环境保护与安全生产科、财务与工资福利科、审计科、工会办、政治处。</w:t>
      </w:r>
    </w:p>
    <w:p w:rsidR="00F84626" w:rsidRDefault="00F84626">
      <w:pPr>
        <w:widowControl/>
        <w:ind w:firstLineChars="200" w:firstLine="640"/>
        <w:jc w:val="left"/>
        <w:rPr>
          <w:rFonts w:ascii="仿宋" w:eastAsia="仿宋" w:hAnsi="仿宋"/>
          <w:kern w:val="0"/>
          <w:sz w:val="32"/>
          <w:szCs w:val="32"/>
        </w:rPr>
      </w:pPr>
    </w:p>
    <w:p w:rsidR="00F84626" w:rsidRDefault="00F84626">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091DBE" w:rsidRDefault="00091DBE">
      <w:pPr>
        <w:pStyle w:val="a0"/>
        <w:spacing w:before="93"/>
        <w:rPr>
          <w:rFonts w:ascii="仿宋" w:eastAsia="仿宋" w:hAnsi="仿宋"/>
          <w:sz w:val="32"/>
          <w:szCs w:val="32"/>
        </w:rPr>
      </w:pPr>
    </w:p>
    <w:p w:rsidR="00F84626" w:rsidRDefault="00072B79">
      <w:pPr>
        <w:pStyle w:val="1"/>
        <w:ind w:right="440"/>
        <w:jc w:val="center"/>
        <w:rPr>
          <w:rStyle w:val="1Char"/>
          <w:rFonts w:ascii="黑体" w:eastAsia="黑体" w:hAnsi="黑体"/>
          <w:bCs/>
        </w:rPr>
      </w:pPr>
      <w:bookmarkStart w:id="17" w:name="_Toc15396602"/>
      <w:bookmarkStart w:id="18" w:name="_Toc15377204"/>
      <w:r>
        <w:rPr>
          <w:rFonts w:ascii="黑体" w:eastAsia="黑体" w:hAnsi="黑体" w:hint="eastAsia"/>
          <w:b w:val="0"/>
        </w:rPr>
        <w:lastRenderedPageBreak/>
        <w:t>第二部分 2020年度</w:t>
      </w:r>
      <w:r>
        <w:rPr>
          <w:rStyle w:val="1Char"/>
          <w:rFonts w:ascii="黑体" w:eastAsia="黑体" w:hAnsi="黑体" w:hint="eastAsia"/>
          <w:bCs/>
        </w:rPr>
        <w:t>部门决算情况说明</w:t>
      </w:r>
      <w:bookmarkEnd w:id="17"/>
      <w:bookmarkEnd w:id="18"/>
    </w:p>
    <w:p w:rsidR="00F84626" w:rsidRDefault="00F84626"/>
    <w:p w:rsidR="00F84626" w:rsidRDefault="00072B79">
      <w:pPr>
        <w:pStyle w:val="aa"/>
        <w:numPr>
          <w:ilvl w:val="0"/>
          <w:numId w:val="2"/>
        </w:numPr>
        <w:spacing w:line="600" w:lineRule="exact"/>
        <w:ind w:firstLineChars="0"/>
        <w:outlineLvl w:val="1"/>
        <w:rPr>
          <w:rStyle w:val="2Char"/>
          <w:rFonts w:ascii="黑体" w:eastAsia="黑体" w:hAnsi="黑体"/>
          <w:b w:val="0"/>
        </w:rPr>
      </w:pPr>
      <w:bookmarkStart w:id="19" w:name="_Toc15377205"/>
      <w:bookmarkStart w:id="20"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F84626" w:rsidRDefault="00072B79">
      <w:pPr>
        <w:spacing w:line="600" w:lineRule="exact"/>
        <w:ind w:firstLineChars="200" w:firstLine="640"/>
        <w:rPr>
          <w:rFonts w:ascii="仿宋_GB2312" w:eastAsia="仿宋_GB2312" w:hAnsi="仿宋_GB2312" w:cs="仿宋_GB2312"/>
          <w:b/>
          <w:bCs/>
          <w:color w:val="0000FF"/>
          <w:sz w:val="32"/>
          <w:szCs w:val="32"/>
          <w:highlight w:val="yellow"/>
        </w:rPr>
      </w:pPr>
      <w:r>
        <w:rPr>
          <w:rFonts w:ascii="仿宋" w:eastAsia="仿宋" w:hAnsi="仿宋" w:hint="eastAsia"/>
          <w:sz w:val="32"/>
          <w:szCs w:val="32"/>
        </w:rPr>
        <w:t>2020年度收、支总计746.23万元</w:t>
      </w:r>
      <w:r>
        <w:rPr>
          <w:rFonts w:ascii="仿宋_GB2312" w:eastAsia="仿宋_GB2312" w:hAnsi="仿宋_GB2312" w:cs="仿宋_GB2312" w:hint="eastAsia"/>
          <w:sz w:val="32"/>
          <w:szCs w:val="32"/>
        </w:rPr>
        <w:t>（总收入含年初结转结余，总支出含年末结转结余）。</w:t>
      </w:r>
      <w:r>
        <w:rPr>
          <w:rFonts w:ascii="仿宋" w:eastAsia="仿宋" w:hAnsi="仿宋" w:hint="eastAsia"/>
          <w:sz w:val="32"/>
          <w:szCs w:val="32"/>
        </w:rPr>
        <w:t>与2019年相比，收、支总计各减少34.12万元，下降4.3</w:t>
      </w:r>
      <w:r w:rsidR="00266C2B">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。主要变动原因是：人员减少。</w:t>
      </w:r>
    </w:p>
    <w:p w:rsidR="00F84626" w:rsidRDefault="00072B79">
      <w:pPr>
        <w:pStyle w:val="a0"/>
        <w:spacing w:before="93"/>
      </w:pPr>
      <w:r>
        <w:rPr>
          <w:rFonts w:hint="eastAsia"/>
          <w:noProof/>
        </w:rPr>
        <w:drawing>
          <wp:inline distT="0" distB="0" distL="0" distR="0">
            <wp:extent cx="5274310" cy="3076575"/>
            <wp:effectExtent l="5080" t="4445" r="6985"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4626" w:rsidRDefault="00F84626">
      <w:pPr>
        <w:pStyle w:val="a0"/>
        <w:spacing w:before="93"/>
      </w:pPr>
    </w:p>
    <w:p w:rsidR="00F84626" w:rsidRDefault="00072B79">
      <w:pPr>
        <w:pStyle w:val="aa"/>
        <w:numPr>
          <w:ilvl w:val="0"/>
          <w:numId w:val="2"/>
        </w:numPr>
        <w:spacing w:line="600" w:lineRule="exact"/>
        <w:ind w:firstLineChars="0"/>
        <w:outlineLvl w:val="1"/>
        <w:rPr>
          <w:rStyle w:val="2Char"/>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F84626" w:rsidRDefault="00072B7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20年本年收入合计746.23万元</w:t>
      </w:r>
      <w:r>
        <w:rPr>
          <w:rFonts w:ascii="仿宋_GB2312" w:eastAsia="仿宋_GB2312" w:hAnsi="仿宋_GB2312" w:cs="仿宋_GB2312" w:hint="eastAsia"/>
          <w:sz w:val="32"/>
          <w:szCs w:val="32"/>
        </w:rPr>
        <w:t>（不含年初结转结余），</w:t>
      </w:r>
      <w:r>
        <w:rPr>
          <w:rFonts w:ascii="仿宋" w:eastAsia="仿宋" w:hAnsi="仿宋" w:hint="eastAsia"/>
          <w:sz w:val="32"/>
          <w:szCs w:val="32"/>
        </w:rPr>
        <w:t>其中：一般公共预算财政拨款收入746.23万元，占100</w:t>
      </w:r>
      <w:r>
        <w:rPr>
          <w:rFonts w:ascii="仿宋" w:eastAsia="仿宋" w:hAnsi="仿宋"/>
          <w:sz w:val="32"/>
          <w:szCs w:val="32"/>
        </w:rPr>
        <w:t>%</w:t>
      </w:r>
      <w:r>
        <w:rPr>
          <w:rFonts w:ascii="仿宋" w:eastAsia="仿宋" w:hAnsi="仿宋" w:hint="eastAsia"/>
          <w:sz w:val="32"/>
          <w:szCs w:val="32"/>
        </w:rPr>
        <w:t>。国有资本经营预算财政拨款收入无；经营收入无；其他收入无。</w:t>
      </w:r>
    </w:p>
    <w:p w:rsidR="00F84626" w:rsidRDefault="00072B79">
      <w:pPr>
        <w:pStyle w:val="a0"/>
        <w:spacing w:before="93"/>
      </w:pPr>
      <w:r>
        <w:rPr>
          <w:rFonts w:hint="eastAsia"/>
          <w:noProof/>
          <w:sz w:val="32"/>
          <w:szCs w:val="32"/>
        </w:rPr>
        <w:lastRenderedPageBreak/>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4626" w:rsidRDefault="00F84626">
      <w:pPr>
        <w:pStyle w:val="a0"/>
        <w:spacing w:before="93"/>
      </w:pPr>
    </w:p>
    <w:p w:rsidR="00F84626" w:rsidRDefault="00072B79">
      <w:pPr>
        <w:pStyle w:val="aa"/>
        <w:numPr>
          <w:ilvl w:val="0"/>
          <w:numId w:val="2"/>
        </w:numPr>
        <w:spacing w:line="600" w:lineRule="exact"/>
        <w:ind w:firstLineChars="0"/>
        <w:outlineLvl w:val="1"/>
        <w:rPr>
          <w:rStyle w:val="2Char"/>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F84626" w:rsidRDefault="00072B79">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20年本年支出合计746.23万元</w:t>
      </w:r>
      <w:r>
        <w:rPr>
          <w:rFonts w:ascii="仿宋_GB2312" w:eastAsia="仿宋_GB2312" w:hAnsi="仿宋_GB2312" w:cs="仿宋_GB2312" w:hint="eastAsia"/>
          <w:sz w:val="32"/>
          <w:szCs w:val="32"/>
        </w:rPr>
        <w:t>（含年末结转结余）</w:t>
      </w:r>
      <w:r>
        <w:rPr>
          <w:rFonts w:ascii="仿宋" w:eastAsia="仿宋" w:hAnsi="仿宋" w:hint="eastAsia"/>
          <w:sz w:val="32"/>
          <w:szCs w:val="32"/>
        </w:rPr>
        <w:t>，其中：基本支出703.55万元，占94.28</w:t>
      </w:r>
      <w:r>
        <w:rPr>
          <w:rFonts w:ascii="仿宋" w:eastAsia="仿宋" w:hAnsi="仿宋"/>
          <w:sz w:val="32"/>
          <w:szCs w:val="32"/>
        </w:rPr>
        <w:t>%</w:t>
      </w:r>
      <w:r>
        <w:rPr>
          <w:rFonts w:ascii="仿宋" w:eastAsia="仿宋" w:hAnsi="仿宋" w:hint="eastAsia"/>
          <w:sz w:val="32"/>
          <w:szCs w:val="32"/>
        </w:rPr>
        <w:t>；项目支出42.68万元，占5.72</w:t>
      </w:r>
      <w:r>
        <w:rPr>
          <w:rFonts w:ascii="仿宋" w:eastAsia="仿宋" w:hAnsi="仿宋"/>
          <w:sz w:val="32"/>
          <w:szCs w:val="32"/>
        </w:rPr>
        <w:t>%</w:t>
      </w:r>
      <w:r>
        <w:rPr>
          <w:rFonts w:ascii="仿宋" w:eastAsia="仿宋" w:hAnsi="仿宋" w:hint="eastAsia"/>
          <w:sz w:val="32"/>
          <w:szCs w:val="32"/>
        </w:rPr>
        <w:t>，经营支出无。</w:t>
      </w:r>
    </w:p>
    <w:p w:rsidR="00F84626" w:rsidRDefault="00F84626">
      <w:pPr>
        <w:spacing w:line="600" w:lineRule="exact"/>
        <w:ind w:firstLineChars="200" w:firstLine="640"/>
        <w:outlineLvl w:val="1"/>
        <w:rPr>
          <w:rFonts w:ascii="仿宋" w:eastAsia="仿宋" w:hAnsi="仿宋"/>
          <w:sz w:val="32"/>
          <w:szCs w:val="32"/>
        </w:rPr>
      </w:pPr>
    </w:p>
    <w:p w:rsidR="00F84626" w:rsidRDefault="00072B79">
      <w:pPr>
        <w:pStyle w:val="a0"/>
        <w:spacing w:before="93"/>
      </w:pPr>
      <w:r>
        <w:rPr>
          <w:rFonts w:hint="eastAsia"/>
          <w:noProof/>
          <w:sz w:val="32"/>
          <w:szCs w:val="32"/>
        </w:rPr>
        <w:drawing>
          <wp:inline distT="0" distB="0" distL="0" distR="0">
            <wp:extent cx="5274310" cy="3076575"/>
            <wp:effectExtent l="5080" t="4445" r="6985"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4626" w:rsidRDefault="00F84626">
      <w:pPr>
        <w:pStyle w:val="a0"/>
        <w:spacing w:before="93"/>
      </w:pPr>
    </w:p>
    <w:p w:rsidR="00F84626" w:rsidRDefault="00072B79">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bCs w:val="0"/>
        </w:rPr>
        <w:t>政拨款</w:t>
      </w:r>
      <w:r>
        <w:rPr>
          <w:rStyle w:val="2Char"/>
          <w:rFonts w:ascii="黑体" w:eastAsia="黑体" w:hAnsi="黑体" w:hint="eastAsia"/>
          <w:b w:val="0"/>
        </w:rPr>
        <w:t>收入支出决算总体情况说明</w:t>
      </w:r>
      <w:bookmarkEnd w:id="25"/>
      <w:bookmarkEnd w:id="26"/>
    </w:p>
    <w:p w:rsidR="00F84626" w:rsidRDefault="00072B7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20年财政拨款收、支总计746.23万元。与</w:t>
      </w:r>
      <w:r>
        <w:rPr>
          <w:rFonts w:ascii="仿宋" w:eastAsia="仿宋" w:hAnsi="仿宋"/>
          <w:sz w:val="32"/>
          <w:szCs w:val="32"/>
        </w:rPr>
        <w:t>201</w:t>
      </w:r>
      <w:r>
        <w:rPr>
          <w:rFonts w:ascii="仿宋" w:eastAsia="仿宋" w:hAnsi="仿宋" w:hint="eastAsia"/>
          <w:sz w:val="32"/>
          <w:szCs w:val="32"/>
        </w:rPr>
        <w:t>9年相比，财政拨款收、支总计减少34.12万元，下降4.3</w:t>
      </w:r>
      <w:r w:rsidR="00266C2B">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。主要变动原因是：人员减少。</w:t>
      </w:r>
    </w:p>
    <w:p w:rsidR="00CA595E" w:rsidRPr="00CA595E" w:rsidRDefault="00CA595E" w:rsidP="00CA595E">
      <w:pPr>
        <w:pStyle w:val="a0"/>
        <w:spacing w:before="93"/>
      </w:pPr>
      <w:r w:rsidRPr="00CA595E">
        <w:rPr>
          <w:rFonts w:hint="eastAsia"/>
          <w:noProof/>
        </w:rPr>
        <w:drawing>
          <wp:inline distT="0" distB="0" distL="0" distR="0">
            <wp:extent cx="5274310" cy="3076575"/>
            <wp:effectExtent l="19050" t="0" r="21590" b="0"/>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4626" w:rsidRDefault="00F84626" w:rsidP="00F84626">
      <w:pPr>
        <w:pStyle w:val="a0"/>
        <w:spacing w:before="93"/>
      </w:pPr>
    </w:p>
    <w:p w:rsidR="00F84626" w:rsidRDefault="00F84626">
      <w:pPr>
        <w:spacing w:line="600" w:lineRule="exact"/>
        <w:ind w:firstLineChars="200" w:firstLine="643"/>
        <w:rPr>
          <w:rFonts w:ascii="仿宋_GB2312" w:eastAsia="仿宋_GB2312" w:hAnsi="仿宋_GB2312" w:cs="仿宋_GB2312"/>
          <w:b/>
          <w:bCs/>
          <w:color w:val="0000FF"/>
          <w:sz w:val="32"/>
          <w:szCs w:val="32"/>
          <w:highlight w:val="yellow"/>
        </w:rPr>
      </w:pPr>
    </w:p>
    <w:p w:rsidR="00F84626" w:rsidRDefault="00072B79">
      <w:pPr>
        <w:spacing w:line="600" w:lineRule="exact"/>
        <w:ind w:firstLineChars="200" w:firstLine="640"/>
        <w:outlineLvl w:val="1"/>
        <w:rPr>
          <w:rStyle w:val="2Char"/>
          <w:rFonts w:ascii="黑体" w:eastAsia="黑体" w:hAnsi="黑体"/>
          <w:b w:val="0"/>
        </w:rPr>
      </w:pPr>
      <w:bookmarkStart w:id="27" w:name="_Toc15396607"/>
      <w:bookmarkStart w:id="28"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F84626" w:rsidRDefault="00072B79">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F84626" w:rsidRDefault="00072B79">
      <w:pPr>
        <w:spacing w:line="600" w:lineRule="exact"/>
        <w:ind w:firstLineChars="200" w:firstLine="640"/>
        <w:rPr>
          <w:rFonts w:ascii="仿宋_GB2312" w:eastAsia="仿宋" w:hAnsi="仿宋_GB2312" w:cs="仿宋_GB2312"/>
          <w:b/>
          <w:bCs/>
          <w:color w:val="0000FF"/>
          <w:sz w:val="32"/>
          <w:szCs w:val="32"/>
          <w:highlight w:val="yellow"/>
        </w:rPr>
      </w:pPr>
      <w:r>
        <w:rPr>
          <w:rFonts w:ascii="仿宋" w:eastAsia="仿宋" w:hAnsi="仿宋"/>
          <w:sz w:val="32"/>
          <w:szCs w:val="32"/>
        </w:rPr>
        <w:t>20</w:t>
      </w:r>
      <w:r>
        <w:rPr>
          <w:rFonts w:ascii="仿宋" w:eastAsia="仿宋" w:hAnsi="仿宋" w:hint="eastAsia"/>
          <w:sz w:val="32"/>
          <w:szCs w:val="32"/>
        </w:rPr>
        <w:t>20年一般公共预算财政拨款支出746.23万元，占本年支出合计的100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201</w:t>
      </w:r>
      <w:r>
        <w:rPr>
          <w:rFonts w:ascii="仿宋" w:eastAsia="仿宋" w:hAnsi="仿宋" w:hint="eastAsia"/>
          <w:sz w:val="32"/>
          <w:szCs w:val="32"/>
        </w:rPr>
        <w:t>9年相比，一般公共预算财政拨款减少34.12万元，下降4.3</w:t>
      </w:r>
      <w:r w:rsidR="00266C2B">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。主要变动原因是：人员减少。</w:t>
      </w:r>
    </w:p>
    <w:p w:rsidR="00F84626" w:rsidRDefault="00F84626">
      <w:pPr>
        <w:pStyle w:val="a0"/>
        <w:spacing w:before="93"/>
      </w:pPr>
    </w:p>
    <w:p w:rsidR="00F84626" w:rsidRDefault="00021F3E">
      <w:pPr>
        <w:pStyle w:val="a0"/>
        <w:spacing w:before="93"/>
      </w:pPr>
      <w:r>
        <w:rPr>
          <w:noProof/>
        </w:rPr>
        <w:lastRenderedPageBreak/>
        <w:drawing>
          <wp:inline distT="0" distB="0" distL="0" distR="0">
            <wp:extent cx="5274310" cy="3076575"/>
            <wp:effectExtent l="19050" t="0" r="2159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4626" w:rsidRDefault="00072B79">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F84626" w:rsidRDefault="00072B7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20年一般公共预算财政拨款支出746.23万元，主要用于以下方面</w:t>
      </w:r>
      <w:r>
        <w:rPr>
          <w:rFonts w:ascii="仿宋" w:eastAsia="仿宋" w:hAnsi="仿宋"/>
          <w:sz w:val="32"/>
          <w:szCs w:val="32"/>
        </w:rPr>
        <w:t>:</w:t>
      </w:r>
      <w:r>
        <w:rPr>
          <w:rFonts w:ascii="仿宋" w:eastAsia="仿宋" w:hAnsi="仿宋" w:hint="eastAsia"/>
          <w:b/>
          <w:sz w:val="32"/>
          <w:szCs w:val="32"/>
        </w:rPr>
        <w:t>公共安全</w:t>
      </w:r>
      <w:r>
        <w:rPr>
          <w:rFonts w:ascii="仿宋" w:eastAsia="仿宋" w:hAnsi="仿宋" w:hint="eastAsia"/>
          <w:b/>
          <w:bCs/>
          <w:sz w:val="32"/>
          <w:szCs w:val="32"/>
        </w:rPr>
        <w:t>支出</w:t>
      </w:r>
      <w:r>
        <w:rPr>
          <w:rFonts w:ascii="仿宋" w:eastAsia="仿宋" w:hAnsi="仿宋" w:hint="eastAsia"/>
          <w:b/>
          <w:sz w:val="32"/>
          <w:szCs w:val="32"/>
        </w:rPr>
        <w:t>（类）323.1</w:t>
      </w:r>
      <w:r w:rsidR="000D5AAF">
        <w:rPr>
          <w:rFonts w:ascii="仿宋" w:eastAsia="仿宋" w:hAnsi="仿宋" w:hint="eastAsia"/>
          <w:b/>
          <w:sz w:val="32"/>
          <w:szCs w:val="32"/>
        </w:rPr>
        <w:t>1</w:t>
      </w:r>
      <w:r>
        <w:rPr>
          <w:rFonts w:ascii="仿宋" w:eastAsia="仿宋" w:hAnsi="仿宋" w:hint="eastAsia"/>
          <w:sz w:val="32"/>
          <w:szCs w:val="32"/>
        </w:rPr>
        <w:t>万元，占43.30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教育支出（类）1.13</w:t>
      </w:r>
      <w:r>
        <w:rPr>
          <w:rFonts w:ascii="仿宋" w:eastAsia="仿宋" w:hAnsi="仿宋" w:hint="eastAsia"/>
          <w:sz w:val="32"/>
          <w:szCs w:val="32"/>
        </w:rPr>
        <w:t>万元，占0.1</w:t>
      </w:r>
      <w:r w:rsidR="005161AD">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社会保障和就业支出（类）354.44</w:t>
      </w:r>
      <w:r>
        <w:rPr>
          <w:rFonts w:ascii="仿宋" w:eastAsia="仿宋" w:hAnsi="仿宋" w:hint="eastAsia"/>
          <w:sz w:val="32"/>
          <w:szCs w:val="32"/>
        </w:rPr>
        <w:t>万元，占47.50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卫生健康支出43.0</w:t>
      </w:r>
      <w:r w:rsidR="000D5AAF">
        <w:rPr>
          <w:rFonts w:ascii="仿宋" w:eastAsia="仿宋" w:hAnsi="仿宋" w:hint="eastAsia"/>
          <w:b/>
          <w:bCs/>
          <w:sz w:val="32"/>
          <w:szCs w:val="32"/>
        </w:rPr>
        <w:t>3</w:t>
      </w:r>
      <w:r>
        <w:rPr>
          <w:rFonts w:ascii="仿宋" w:eastAsia="仿宋" w:hAnsi="仿宋" w:hint="eastAsia"/>
          <w:sz w:val="32"/>
          <w:szCs w:val="32"/>
        </w:rPr>
        <w:t>万元，占5.7</w:t>
      </w:r>
      <w:r w:rsidR="005161AD">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住房保障支出24.52</w:t>
      </w:r>
      <w:r>
        <w:rPr>
          <w:rFonts w:ascii="仿宋" w:eastAsia="仿宋" w:hAnsi="仿宋" w:hint="eastAsia"/>
          <w:sz w:val="32"/>
          <w:szCs w:val="32"/>
        </w:rPr>
        <w:t>万元，占3.28</w:t>
      </w:r>
      <w:r>
        <w:rPr>
          <w:rFonts w:ascii="仿宋" w:eastAsia="仿宋" w:hAnsi="仿宋"/>
          <w:sz w:val="32"/>
          <w:szCs w:val="32"/>
        </w:rPr>
        <w:t>%</w:t>
      </w:r>
      <w:r>
        <w:rPr>
          <w:rFonts w:ascii="仿宋" w:eastAsia="仿宋" w:hAnsi="仿宋" w:hint="eastAsia"/>
          <w:sz w:val="32"/>
          <w:szCs w:val="32"/>
        </w:rPr>
        <w:t>。</w:t>
      </w:r>
    </w:p>
    <w:p w:rsidR="00F84626" w:rsidRDefault="00072B79">
      <w:pPr>
        <w:pStyle w:val="a0"/>
        <w:spacing w:before="93"/>
      </w:pPr>
      <w:r>
        <w:rPr>
          <w:noProof/>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4626" w:rsidRDefault="00F84626">
      <w:pPr>
        <w:pStyle w:val="a0"/>
        <w:spacing w:before="93"/>
      </w:pPr>
    </w:p>
    <w:p w:rsidR="00F84626" w:rsidRDefault="00072B79">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F84626" w:rsidRDefault="00072B79">
      <w:pPr>
        <w:spacing w:line="600" w:lineRule="exact"/>
        <w:ind w:firstLineChars="200" w:firstLine="643"/>
        <w:outlineLvl w:val="2"/>
        <w:rPr>
          <w:rFonts w:ascii="仿宋" w:eastAsia="仿宋" w:hAnsi="仿宋"/>
          <w:sz w:val="32"/>
          <w:szCs w:val="32"/>
        </w:rPr>
      </w:pPr>
      <w:bookmarkStart w:id="32" w:name="_Toc15377213"/>
      <w:bookmarkStart w:id="33" w:name="_Toc15377444"/>
      <w:bookmarkStart w:id="34" w:name="_Toc15378460"/>
      <w:r>
        <w:rPr>
          <w:rFonts w:ascii="仿宋" w:eastAsia="仿宋" w:hAnsi="仿宋" w:hint="eastAsia"/>
          <w:b/>
          <w:sz w:val="32"/>
          <w:szCs w:val="32"/>
        </w:rPr>
        <w:t>2020年一般公共预算支出决算数为746.23万元</w:t>
      </w:r>
      <w:r>
        <w:rPr>
          <w:rFonts w:ascii="仿宋" w:eastAsia="仿宋" w:hAnsi="仿宋" w:hint="eastAsia"/>
          <w:sz w:val="32"/>
          <w:szCs w:val="32"/>
        </w:rPr>
        <w:t>，</w:t>
      </w:r>
      <w:r>
        <w:rPr>
          <w:rStyle w:val="a8"/>
          <w:rFonts w:ascii="仿宋" w:eastAsia="仿宋" w:hAnsi="仿宋" w:hint="eastAsia"/>
          <w:bCs/>
          <w:sz w:val="32"/>
          <w:szCs w:val="32"/>
        </w:rPr>
        <w:t>完成预算95.48</w:t>
      </w:r>
      <w:r>
        <w:rPr>
          <w:rStyle w:val="a8"/>
          <w:rFonts w:ascii="仿宋" w:eastAsia="仿宋" w:hAnsi="仿宋"/>
          <w:bCs/>
          <w:sz w:val="32"/>
          <w:szCs w:val="32"/>
        </w:rPr>
        <w:t>%</w:t>
      </w:r>
      <w:r>
        <w:rPr>
          <w:rStyle w:val="a8"/>
          <w:rFonts w:ascii="仿宋" w:eastAsia="仿宋" w:hAnsi="仿宋" w:hint="eastAsia"/>
          <w:bCs/>
          <w:sz w:val="32"/>
          <w:szCs w:val="32"/>
        </w:rPr>
        <w:t>。其中：</w:t>
      </w:r>
      <w:bookmarkEnd w:id="32"/>
      <w:bookmarkEnd w:id="33"/>
      <w:bookmarkEnd w:id="34"/>
    </w:p>
    <w:p w:rsidR="00F84626" w:rsidRDefault="00072B79">
      <w:pPr>
        <w:spacing w:line="600" w:lineRule="exact"/>
        <w:ind w:firstLineChars="200" w:firstLine="643"/>
        <w:rPr>
          <w:rFonts w:ascii="仿宋" w:eastAsia="仿宋" w:hAnsi="仿宋"/>
          <w:b/>
          <w:sz w:val="32"/>
          <w:szCs w:val="32"/>
        </w:rPr>
      </w:pPr>
      <w:r>
        <w:rPr>
          <w:rStyle w:val="a8"/>
          <w:rFonts w:ascii="仿宋" w:eastAsia="仿宋" w:hAnsi="仿宋"/>
          <w:bCs/>
          <w:sz w:val="32"/>
          <w:szCs w:val="32"/>
        </w:rPr>
        <w:t>1.</w:t>
      </w:r>
      <w:r>
        <w:rPr>
          <w:rStyle w:val="a8"/>
          <w:rFonts w:ascii="仿宋" w:eastAsia="仿宋" w:hAnsi="仿宋" w:cs="仿宋" w:hint="eastAsia"/>
          <w:color w:val="000000"/>
          <w:sz w:val="32"/>
          <w:szCs w:val="32"/>
        </w:rPr>
        <w:t>公共安全支出（类）监狱（款）行政运行（项）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sidR="001460A8">
        <w:rPr>
          <w:rStyle w:val="a8"/>
          <w:rFonts w:ascii="仿宋" w:eastAsia="仿宋" w:hAnsi="仿宋" w:hint="eastAsia"/>
          <w:b w:val="0"/>
          <w:bCs/>
          <w:sz w:val="32"/>
          <w:szCs w:val="32"/>
        </w:rPr>
        <w:t>304.94</w:t>
      </w:r>
      <w:r>
        <w:rPr>
          <w:rStyle w:val="a8"/>
          <w:rFonts w:ascii="仿宋" w:eastAsia="仿宋" w:hAnsi="仿宋" w:hint="eastAsia"/>
          <w:b w:val="0"/>
          <w:bCs/>
          <w:sz w:val="32"/>
          <w:szCs w:val="32"/>
        </w:rPr>
        <w:t>万元，完成预算95.48</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，决算数小于预算数的主要原因是人员减少。</w:t>
      </w:r>
    </w:p>
    <w:p w:rsidR="00F84626" w:rsidRDefault="00072B79">
      <w:pPr>
        <w:spacing w:line="600" w:lineRule="exact"/>
        <w:ind w:firstLineChars="200" w:firstLine="643"/>
        <w:rPr>
          <w:rFonts w:ascii="仿宋" w:eastAsia="仿宋" w:hAnsi="仿宋"/>
          <w:b/>
          <w:sz w:val="32"/>
          <w:szCs w:val="32"/>
        </w:rPr>
      </w:pPr>
      <w:r>
        <w:rPr>
          <w:rStyle w:val="a8"/>
          <w:rFonts w:ascii="仿宋" w:eastAsia="仿宋" w:hAnsi="仿宋"/>
          <w:bCs/>
          <w:sz w:val="32"/>
          <w:szCs w:val="32"/>
        </w:rPr>
        <w:t>2.</w:t>
      </w:r>
      <w:r>
        <w:rPr>
          <w:rFonts w:ascii="仿宋" w:eastAsia="仿宋" w:hAnsi="仿宋" w:cs="仿宋" w:hint="eastAsia"/>
          <w:b/>
          <w:bCs/>
          <w:color w:val="000000"/>
          <w:sz w:val="32"/>
          <w:szCs w:val="32"/>
        </w:rPr>
        <w:t>公</w:t>
      </w:r>
      <w:r>
        <w:rPr>
          <w:rStyle w:val="a8"/>
          <w:rFonts w:ascii="仿宋" w:eastAsia="仿宋" w:hAnsi="仿宋" w:cs="仿宋" w:hint="eastAsia"/>
          <w:color w:val="000000"/>
          <w:sz w:val="32"/>
          <w:szCs w:val="32"/>
        </w:rPr>
        <w:t>共安全支出（类）监狱（款）一般行政管理事务（项）</w:t>
      </w:r>
      <w:r>
        <w:rPr>
          <w:rStyle w:val="a8"/>
          <w:rFonts w:ascii="仿宋" w:eastAsia="仿宋" w:hAnsi="仿宋"/>
          <w:bCs/>
          <w:sz w:val="32"/>
          <w:szCs w:val="32"/>
        </w:rPr>
        <w:t>:</w:t>
      </w:r>
      <w:r>
        <w:rPr>
          <w:rStyle w:val="a8"/>
          <w:rFonts w:ascii="仿宋" w:eastAsia="仿宋" w:hAnsi="仿宋" w:hint="eastAsia"/>
          <w:b w:val="0"/>
          <w:bCs/>
          <w:sz w:val="32"/>
          <w:szCs w:val="32"/>
        </w:rPr>
        <w:t>支出决算为3.17万元，完成预算99.07</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，决算数小于预算数的主要原因是厉行节约，完成设备采购后资金结余。</w:t>
      </w:r>
    </w:p>
    <w:p w:rsidR="00F84626" w:rsidRDefault="00072B79">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3</w:t>
      </w:r>
      <w:r>
        <w:rPr>
          <w:rStyle w:val="a8"/>
          <w:rFonts w:ascii="仿宋" w:eastAsia="仿宋" w:hAnsi="仿宋"/>
          <w:bCs/>
          <w:sz w:val="32"/>
          <w:szCs w:val="32"/>
        </w:rPr>
        <w:t>.</w:t>
      </w:r>
      <w:r>
        <w:rPr>
          <w:rStyle w:val="a8"/>
          <w:rFonts w:ascii="仿宋" w:eastAsia="仿宋" w:hAnsi="仿宋" w:cs="仿宋" w:hint="eastAsia"/>
          <w:sz w:val="32"/>
          <w:szCs w:val="32"/>
        </w:rPr>
        <w:t>教育支出（类）进修及培训（款）</w:t>
      </w:r>
      <w:r>
        <w:rPr>
          <w:rStyle w:val="a8"/>
          <w:rFonts w:ascii="仿宋" w:eastAsia="仿宋" w:hAnsi="仿宋" w:cs="仿宋" w:hint="eastAsia"/>
          <w:color w:val="000000"/>
          <w:sz w:val="32"/>
          <w:szCs w:val="32"/>
        </w:rPr>
        <w:t>培训支出（项）：</w:t>
      </w:r>
      <w:r>
        <w:rPr>
          <w:rStyle w:val="a8"/>
          <w:rFonts w:ascii="仿宋" w:eastAsia="仿宋" w:hAnsi="仿宋" w:hint="eastAsia"/>
          <w:b w:val="0"/>
          <w:bCs/>
          <w:sz w:val="32"/>
          <w:szCs w:val="32"/>
        </w:rPr>
        <w:t>支出决算为1.13万元，完成预算45.20</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w:t>
      </w:r>
      <w:r>
        <w:rPr>
          <w:rFonts w:ascii="仿宋" w:eastAsia="仿宋" w:hAnsi="仿宋" w:hint="eastAsia"/>
          <w:sz w:val="32"/>
          <w:szCs w:val="32"/>
        </w:rPr>
        <w:t>受疫情影响，本年培训减少</w:t>
      </w:r>
      <w:r>
        <w:rPr>
          <w:rStyle w:val="a8"/>
          <w:rFonts w:ascii="仿宋" w:eastAsia="仿宋" w:hAnsi="仿宋" w:hint="eastAsia"/>
          <w:b w:val="0"/>
          <w:bCs/>
          <w:sz w:val="32"/>
          <w:szCs w:val="32"/>
        </w:rPr>
        <w:t>。</w:t>
      </w:r>
    </w:p>
    <w:p w:rsidR="00F84626" w:rsidRDefault="00072B79">
      <w:pPr>
        <w:spacing w:line="600" w:lineRule="exact"/>
        <w:ind w:firstLineChars="200" w:firstLine="643"/>
        <w:rPr>
          <w:rFonts w:ascii="仿宋" w:eastAsia="仿宋" w:hAnsi="仿宋"/>
          <w:b/>
          <w:sz w:val="32"/>
          <w:szCs w:val="32"/>
        </w:rPr>
      </w:pPr>
      <w:r>
        <w:rPr>
          <w:rStyle w:val="a8"/>
          <w:rFonts w:ascii="仿宋" w:eastAsia="仿宋" w:hAnsi="仿宋" w:cstheme="minorBidi" w:hint="eastAsia"/>
          <w:bCs/>
          <w:sz w:val="32"/>
          <w:szCs w:val="32"/>
        </w:rPr>
        <w:t>4.</w:t>
      </w:r>
      <w:r>
        <w:rPr>
          <w:rStyle w:val="a8"/>
          <w:rFonts w:ascii="仿宋" w:eastAsia="仿宋" w:hAnsi="仿宋" w:cs="仿宋" w:hint="eastAsia"/>
          <w:color w:val="000000"/>
          <w:sz w:val="32"/>
          <w:szCs w:val="32"/>
        </w:rPr>
        <w:t>社会保障和就业支出（类）行政事业单位养老支出（款）行政单位离退休（项）：</w:t>
      </w:r>
      <w:r>
        <w:rPr>
          <w:rStyle w:val="a8"/>
          <w:rFonts w:ascii="仿宋" w:eastAsia="仿宋" w:hAnsi="仿宋" w:hint="eastAsia"/>
          <w:b w:val="0"/>
          <w:bCs/>
          <w:sz w:val="32"/>
          <w:szCs w:val="32"/>
        </w:rPr>
        <w:t>支出决算为265.58万元，完成预算99.99</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，决算数小于预算数的主要原因是人员减少。</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5.社会保障和就业支出（类）行政事业单位养老支出（款）机关事业单位基本养老保险缴费支出（项）：</w:t>
      </w:r>
      <w:r>
        <w:rPr>
          <w:rStyle w:val="a8"/>
          <w:rFonts w:ascii="仿宋" w:eastAsia="仿宋" w:hAnsi="仿宋" w:hint="eastAsia"/>
          <w:b w:val="0"/>
          <w:bCs/>
          <w:sz w:val="32"/>
          <w:szCs w:val="32"/>
        </w:rPr>
        <w:t>支出决算为24.40万元，完成预算93.13</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，决算数小于预算数的主要原因是人员减少。</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6.社会保障和就业支出（类）抚恤（款）死亡抚恤（项）：</w:t>
      </w:r>
      <w:r>
        <w:rPr>
          <w:rStyle w:val="a8"/>
          <w:rFonts w:ascii="仿宋" w:eastAsia="仿宋" w:hAnsi="仿宋" w:hint="eastAsia"/>
          <w:b w:val="0"/>
          <w:bCs/>
          <w:sz w:val="32"/>
          <w:szCs w:val="32"/>
        </w:rPr>
        <w:t>支出决算为47.43万元，完成预算100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7.社会保障和就业支出（类）其他社会保障和就业支出</w:t>
      </w:r>
      <w:r>
        <w:rPr>
          <w:rStyle w:val="a8"/>
          <w:rFonts w:ascii="仿宋" w:eastAsia="仿宋" w:hAnsi="仿宋" w:cs="仿宋" w:hint="eastAsia"/>
          <w:color w:val="000000"/>
          <w:sz w:val="32"/>
          <w:szCs w:val="32"/>
        </w:rPr>
        <w:lastRenderedPageBreak/>
        <w:t>（款）其他社会保障和就业支出（项）：</w:t>
      </w:r>
      <w:r>
        <w:rPr>
          <w:rStyle w:val="a8"/>
          <w:rFonts w:ascii="仿宋" w:eastAsia="仿宋" w:hAnsi="仿宋" w:hint="eastAsia"/>
          <w:b w:val="0"/>
          <w:bCs/>
          <w:sz w:val="32"/>
          <w:szCs w:val="32"/>
        </w:rPr>
        <w:t>支出决算为17.03万元，完成预算100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8.卫生健康支出（类）行政事业单位医疗（款）行政单位医疗（项）：</w:t>
      </w:r>
      <w:r>
        <w:rPr>
          <w:rStyle w:val="a8"/>
          <w:rFonts w:ascii="仿宋" w:eastAsia="仿宋" w:hAnsi="仿宋" w:hint="eastAsia"/>
          <w:b w:val="0"/>
          <w:bCs/>
          <w:sz w:val="32"/>
          <w:szCs w:val="32"/>
        </w:rPr>
        <w:t>支出决算为</w:t>
      </w:r>
      <w:r w:rsidR="001460A8">
        <w:rPr>
          <w:rStyle w:val="a8"/>
          <w:rFonts w:ascii="仿宋" w:eastAsia="仿宋" w:hAnsi="仿宋" w:hint="eastAsia"/>
          <w:b w:val="0"/>
          <w:bCs/>
          <w:sz w:val="32"/>
          <w:szCs w:val="32"/>
        </w:rPr>
        <w:t>26.64</w:t>
      </w:r>
      <w:r>
        <w:rPr>
          <w:rStyle w:val="a8"/>
          <w:rFonts w:ascii="仿宋" w:eastAsia="仿宋" w:hAnsi="仿宋" w:hint="eastAsia"/>
          <w:b w:val="0"/>
          <w:bCs/>
          <w:sz w:val="32"/>
          <w:szCs w:val="32"/>
        </w:rPr>
        <w:t>万元，完成预算92.89</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w:t>
      </w:r>
      <w:r>
        <w:rPr>
          <w:rFonts w:ascii="仿宋" w:eastAsia="仿宋" w:hAnsi="仿宋" w:hint="eastAsia"/>
          <w:sz w:val="32"/>
          <w:szCs w:val="32"/>
        </w:rPr>
        <w:t>人员减少</w:t>
      </w:r>
      <w:r>
        <w:rPr>
          <w:rStyle w:val="a8"/>
          <w:rFonts w:ascii="仿宋" w:eastAsia="仿宋" w:hAnsi="仿宋" w:hint="eastAsia"/>
          <w:b w:val="0"/>
          <w:bCs/>
          <w:sz w:val="32"/>
          <w:szCs w:val="32"/>
        </w:rPr>
        <w:t>。</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9.卫生健康支出（类）行政事业单位医疗（款）公务员医疗补助（项）：</w:t>
      </w:r>
      <w:r>
        <w:rPr>
          <w:rStyle w:val="a8"/>
          <w:rFonts w:ascii="仿宋" w:eastAsia="仿宋" w:hAnsi="仿宋" w:hint="eastAsia"/>
          <w:b w:val="0"/>
          <w:bCs/>
          <w:sz w:val="32"/>
          <w:szCs w:val="32"/>
        </w:rPr>
        <w:t>支出决算为16.39万元，完成预算100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F84626" w:rsidRDefault="00072B79">
      <w:pPr>
        <w:spacing w:line="600" w:lineRule="exact"/>
        <w:ind w:firstLineChars="200" w:firstLine="643"/>
        <w:rPr>
          <w:rStyle w:val="a8"/>
          <w:rFonts w:ascii="仿宋" w:eastAsia="仿宋" w:hAnsi="仿宋"/>
          <w:b w:val="0"/>
          <w:bCs/>
          <w:sz w:val="32"/>
          <w:szCs w:val="32"/>
        </w:rPr>
      </w:pPr>
      <w:r>
        <w:rPr>
          <w:rStyle w:val="a8"/>
          <w:rFonts w:ascii="仿宋" w:eastAsia="仿宋" w:hAnsi="仿宋" w:cs="仿宋" w:hint="eastAsia"/>
          <w:color w:val="000000"/>
          <w:sz w:val="32"/>
          <w:szCs w:val="32"/>
        </w:rPr>
        <w:t>10.住房保障支出（类）住房改革支出（款）住房公积金（项）：</w:t>
      </w:r>
      <w:r>
        <w:rPr>
          <w:rStyle w:val="a8"/>
          <w:rFonts w:ascii="仿宋" w:eastAsia="仿宋" w:hAnsi="仿宋" w:hint="eastAsia"/>
          <w:b w:val="0"/>
          <w:bCs/>
          <w:sz w:val="32"/>
          <w:szCs w:val="32"/>
        </w:rPr>
        <w:t>支出决算为24.52万元，完成预算93.24</w:t>
      </w:r>
      <w:r>
        <w:rPr>
          <w:rStyle w:val="a8"/>
          <w:rFonts w:ascii="仿宋" w:eastAsia="仿宋" w:hAnsi="仿宋"/>
          <w:b w:val="0"/>
          <w:bCs/>
          <w:sz w:val="32"/>
          <w:szCs w:val="32"/>
        </w:rPr>
        <w:t>%</w:t>
      </w:r>
      <w:r>
        <w:rPr>
          <w:rStyle w:val="a8"/>
          <w:rFonts w:ascii="仿宋" w:eastAsia="仿宋" w:hAnsi="仿宋" w:hint="eastAsia"/>
          <w:b w:val="0"/>
          <w:bCs/>
          <w:sz w:val="32"/>
          <w:szCs w:val="32"/>
        </w:rPr>
        <w:t>，决算数小于预算数的主要原因是人员减少。</w:t>
      </w:r>
    </w:p>
    <w:p w:rsidR="00C12139" w:rsidRPr="00C12139" w:rsidRDefault="00C12139" w:rsidP="00C12139">
      <w:pPr>
        <w:pStyle w:val="a0"/>
        <w:spacing w:before="93"/>
      </w:pPr>
    </w:p>
    <w:p w:rsidR="00F84626" w:rsidRDefault="00072B79">
      <w:pPr>
        <w:tabs>
          <w:tab w:val="right" w:pos="8306"/>
        </w:tabs>
        <w:spacing w:line="600" w:lineRule="exact"/>
        <w:ind w:firstLine="640"/>
        <w:outlineLvl w:val="1"/>
        <w:rPr>
          <w:rStyle w:val="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F84626" w:rsidRDefault="00072B79">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20年一般公共预算财政拨款基本支出703.55万元，其中：</w:t>
      </w:r>
    </w:p>
    <w:p w:rsidR="00F84626" w:rsidRDefault="00072B79">
      <w:pPr>
        <w:spacing w:line="600" w:lineRule="exact"/>
        <w:ind w:firstLine="645"/>
        <w:rPr>
          <w:rFonts w:ascii="仿宋" w:eastAsia="仿宋" w:hAnsi="仿宋"/>
          <w:color w:val="000000"/>
          <w:sz w:val="32"/>
          <w:szCs w:val="32"/>
        </w:rPr>
      </w:pPr>
      <w:r>
        <w:rPr>
          <w:rFonts w:ascii="仿宋" w:eastAsia="仿宋" w:hAnsi="仿宋" w:hint="eastAsia"/>
          <w:sz w:val="32"/>
          <w:szCs w:val="32"/>
        </w:rPr>
        <w:t>人员经费664.93万元，主要包括：</w:t>
      </w:r>
      <w:r>
        <w:rPr>
          <w:rFonts w:ascii="仿宋" w:eastAsia="仿宋" w:hAnsi="仿宋" w:hint="eastAsia"/>
          <w:color w:val="000000"/>
          <w:sz w:val="32"/>
          <w:szCs w:val="32"/>
        </w:rPr>
        <w:t>基本工资、津贴补贴、奖金、绩效工资、机关事业单位基本养老保险缴费、职业年金缴费、职工基本医疗保险缴费、公务员医疗补助缴费、住房公积金、其他工资福利支出、离休费、抚恤金、生活补助、其他对个人和家庭的补助支出等。</w:t>
      </w:r>
    </w:p>
    <w:p w:rsidR="00F84626" w:rsidRDefault="00072B79">
      <w:pPr>
        <w:spacing w:line="600" w:lineRule="exact"/>
        <w:ind w:firstLine="645"/>
        <w:rPr>
          <w:rFonts w:ascii="仿宋" w:eastAsia="仿宋" w:hAnsi="仿宋"/>
          <w:color w:val="000000"/>
          <w:sz w:val="32"/>
          <w:szCs w:val="32"/>
        </w:rPr>
      </w:pPr>
      <w:r>
        <w:rPr>
          <w:rFonts w:ascii="仿宋" w:eastAsia="仿宋" w:hAnsi="仿宋" w:hint="eastAsia"/>
          <w:sz w:val="32"/>
          <w:szCs w:val="32"/>
        </w:rPr>
        <w:t>公用经费38.62万元，主要包括：</w:t>
      </w:r>
      <w:r>
        <w:rPr>
          <w:rFonts w:ascii="仿宋" w:eastAsia="仿宋" w:hAnsi="仿宋" w:hint="eastAsia"/>
          <w:color w:val="000000"/>
          <w:sz w:val="32"/>
          <w:szCs w:val="32"/>
        </w:rPr>
        <w:t>办公费、印刷费、咨询费、手续费、水费、电费、邮电费、取暖费、差旅费、维修（护）费、租赁费、会议费、培训费、劳务费、委托业务费、工会经费、福利费、其他交通费用、其他商品和服务支</w:t>
      </w:r>
      <w:r>
        <w:rPr>
          <w:rFonts w:ascii="仿宋" w:eastAsia="仿宋" w:hAnsi="仿宋" w:hint="eastAsia"/>
          <w:color w:val="000000"/>
          <w:sz w:val="32"/>
          <w:szCs w:val="32"/>
        </w:rPr>
        <w:lastRenderedPageBreak/>
        <w:t>出等。</w:t>
      </w:r>
    </w:p>
    <w:p w:rsidR="00F00A21" w:rsidRPr="00F00A21" w:rsidRDefault="00F00A21" w:rsidP="00F00A21">
      <w:pPr>
        <w:pStyle w:val="a0"/>
        <w:spacing w:before="93"/>
      </w:pPr>
    </w:p>
    <w:p w:rsidR="00F84626" w:rsidRDefault="00072B79">
      <w:pPr>
        <w:spacing w:line="600" w:lineRule="exact"/>
        <w:ind w:firstLine="640"/>
        <w:outlineLvl w:val="1"/>
        <w:rPr>
          <w:rFonts w:ascii="仿宋_GB2312" w:eastAsia="仿宋_GB2312" w:hAnsi="仿宋_GB2312" w:cs="仿宋_GB2312"/>
          <w:b/>
          <w:bCs/>
          <w:color w:val="0000FF"/>
          <w:sz w:val="32"/>
          <w:szCs w:val="32"/>
          <w:highlight w:val="yellow"/>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F84626" w:rsidRDefault="00072B79">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F84626" w:rsidRDefault="00072B79">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20年“三公”经费财政拨款支出决算为15.13万元，完成预算94.5</w:t>
      </w:r>
      <w:r w:rsidR="00EE1F6D">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，决算数小于预算数的主要原因是本年厉行节约，严格控制接待费支出。</w:t>
      </w:r>
    </w:p>
    <w:p w:rsidR="00F84626" w:rsidRDefault="00072B79">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F84626" w:rsidRDefault="00072B79">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20年“三公”经费财政拨款支出决算中，因公出国（境）费支出无；公务用车购置及运行维护费支出决算15万元，占99.14</w:t>
      </w:r>
      <w:r>
        <w:rPr>
          <w:rFonts w:ascii="仿宋" w:eastAsia="仿宋" w:hAnsi="仿宋"/>
          <w:sz w:val="32"/>
          <w:szCs w:val="32"/>
        </w:rPr>
        <w:t>%</w:t>
      </w:r>
      <w:r>
        <w:rPr>
          <w:rFonts w:ascii="仿宋" w:eastAsia="仿宋" w:hAnsi="仿宋" w:hint="eastAsia"/>
          <w:sz w:val="32"/>
          <w:szCs w:val="32"/>
        </w:rPr>
        <w:t>；公务接待费支出决算0.13万元，占0.86</w:t>
      </w:r>
      <w:r>
        <w:rPr>
          <w:rFonts w:ascii="仿宋" w:eastAsia="仿宋" w:hAnsi="仿宋"/>
          <w:sz w:val="32"/>
          <w:szCs w:val="32"/>
        </w:rPr>
        <w:t>%</w:t>
      </w:r>
      <w:r>
        <w:rPr>
          <w:rFonts w:ascii="仿宋" w:eastAsia="仿宋" w:hAnsi="仿宋" w:hint="eastAsia"/>
          <w:sz w:val="32"/>
          <w:szCs w:val="32"/>
        </w:rPr>
        <w:t>。具体情况如下：</w:t>
      </w:r>
    </w:p>
    <w:p w:rsidR="00F84626" w:rsidRDefault="00072B79">
      <w:pPr>
        <w:pStyle w:val="a0"/>
        <w:spacing w:before="93"/>
      </w:pPr>
      <w:r>
        <w:rPr>
          <w:noProof/>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A711C" w:rsidRDefault="008A711C">
      <w:pPr>
        <w:pStyle w:val="a0"/>
        <w:spacing w:before="93"/>
      </w:pPr>
    </w:p>
    <w:p w:rsidR="00F84626" w:rsidRDefault="00072B79">
      <w:pPr>
        <w:spacing w:line="600" w:lineRule="exact"/>
        <w:ind w:firstLineChars="200" w:firstLine="643"/>
        <w:rPr>
          <w:rFonts w:ascii="仿宋_GB2312" w:eastAsia="仿宋_GB2312"/>
          <w:b/>
          <w:sz w:val="32"/>
          <w:szCs w:val="32"/>
        </w:rPr>
      </w:pPr>
      <w:r>
        <w:rPr>
          <w:rFonts w:ascii="仿宋_GB2312" w:eastAsia="仿宋_GB2312" w:hint="eastAsia"/>
          <w:b/>
          <w:sz w:val="32"/>
          <w:szCs w:val="32"/>
        </w:rPr>
        <w:t>1.因公出国（境）经费支出0万元，预算安排0万元。</w:t>
      </w:r>
      <w:r>
        <w:rPr>
          <w:rFonts w:ascii="仿宋_GB2312" w:eastAsia="仿宋_GB2312" w:hint="eastAsia"/>
          <w:sz w:val="32"/>
          <w:szCs w:val="32"/>
        </w:rPr>
        <w:lastRenderedPageBreak/>
        <w:t>全年因公出国（境）团组0次，出国（境）0人，因公出国（境）支出决算与2019年持平。主要原因是厉行节约。</w:t>
      </w:r>
    </w:p>
    <w:p w:rsidR="00F84626" w:rsidRDefault="00072B79">
      <w:pPr>
        <w:pStyle w:val="a0"/>
        <w:spacing w:before="93"/>
      </w:pPr>
      <w:r>
        <w:rPr>
          <w:rFonts w:hint="eastAsia"/>
        </w:rPr>
        <w:t xml:space="preserve">     </w:t>
      </w:r>
      <w:r w:rsidRPr="00E544D9">
        <w:rPr>
          <w:rFonts w:hint="eastAsia"/>
          <w:kern w:val="2"/>
          <w:sz w:val="32"/>
          <w:szCs w:val="32"/>
        </w:rPr>
        <w:t>开支内容无。</w:t>
      </w:r>
    </w:p>
    <w:p w:rsidR="00F84626" w:rsidRDefault="00072B79">
      <w:pPr>
        <w:tabs>
          <w:tab w:val="left" w:pos="6930"/>
        </w:tabs>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15万元,</w:t>
      </w:r>
      <w:r>
        <w:rPr>
          <w:rStyle w:val="a8"/>
          <w:rFonts w:ascii="仿宋" w:eastAsia="仿宋" w:hAnsi="仿宋" w:hint="eastAsia"/>
          <w:b w:val="0"/>
          <w:bCs/>
          <w:sz w:val="32"/>
          <w:szCs w:val="32"/>
        </w:rPr>
        <w:t>完成预算100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201</w:t>
      </w:r>
      <w:r>
        <w:rPr>
          <w:rFonts w:ascii="仿宋_GB2312" w:eastAsia="仿宋_GB2312" w:hint="eastAsia"/>
          <w:sz w:val="32"/>
          <w:szCs w:val="32"/>
        </w:rPr>
        <w:t>9年增加0.53万元，增长3.67</w:t>
      </w:r>
      <w:r>
        <w:rPr>
          <w:rFonts w:ascii="仿宋_GB2312" w:eastAsia="仿宋_GB2312"/>
          <w:sz w:val="32"/>
          <w:szCs w:val="32"/>
        </w:rPr>
        <w:t>%</w:t>
      </w:r>
      <w:r>
        <w:rPr>
          <w:rFonts w:ascii="仿宋_GB2312" w:eastAsia="仿宋_GB2312" w:hint="eastAsia"/>
          <w:sz w:val="32"/>
          <w:szCs w:val="32"/>
        </w:rPr>
        <w:t>。主要原因是维修费增加。</w:t>
      </w:r>
    </w:p>
    <w:p w:rsidR="00F84626" w:rsidRDefault="00072B79">
      <w:pPr>
        <w:tabs>
          <w:tab w:val="left" w:pos="6930"/>
        </w:tabs>
        <w:spacing w:line="600" w:lineRule="exact"/>
        <w:ind w:firstLineChars="200" w:firstLine="640"/>
        <w:rPr>
          <w:rFonts w:ascii="仿宋_GB2312" w:eastAsia="仿宋_GB2312"/>
          <w:b/>
          <w:bCs/>
          <w:color w:val="0070C0"/>
          <w:sz w:val="32"/>
          <w:szCs w:val="32"/>
          <w:highlight w:val="yellow"/>
        </w:rPr>
      </w:pPr>
      <w:r>
        <w:rPr>
          <w:rFonts w:ascii="仿宋_GB2312" w:eastAsia="仿宋_GB2312" w:hint="eastAsia"/>
          <w:sz w:val="32"/>
          <w:szCs w:val="32"/>
        </w:rPr>
        <w:t>其中：</w:t>
      </w:r>
      <w:r w:rsidR="00104C75">
        <w:rPr>
          <w:rFonts w:ascii="仿宋_GB2312" w:eastAsia="仿宋_GB2312" w:hint="eastAsia"/>
          <w:b/>
          <w:sz w:val="32"/>
          <w:szCs w:val="32"/>
        </w:rPr>
        <w:t>公务用车购置支出</w:t>
      </w:r>
      <w:r w:rsidR="00104C75">
        <w:rPr>
          <w:rFonts w:ascii="仿宋_GB2312" w:eastAsia="仿宋_GB2312" w:hint="eastAsia"/>
          <w:sz w:val="32"/>
          <w:szCs w:val="32"/>
        </w:rPr>
        <w:t>0万元。全年按规定更新购置公务用车0辆</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月底，单位共有公务用车6辆，其中：轿车1辆、越野车1辆、载客汽车3辆。</w:t>
      </w:r>
    </w:p>
    <w:p w:rsidR="00F84626" w:rsidRDefault="00072B79">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15万元。主要用于执行公务所需的公务用车燃料费、维修费、过路过桥费、保险费等支出。</w:t>
      </w:r>
    </w:p>
    <w:p w:rsidR="00F84626" w:rsidRDefault="00072B79">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0.13万元，</w:t>
      </w:r>
      <w:r>
        <w:rPr>
          <w:rStyle w:val="a8"/>
          <w:rFonts w:ascii="仿宋" w:eastAsia="仿宋" w:hAnsi="仿宋" w:hint="eastAsia"/>
          <w:b w:val="0"/>
          <w:bCs/>
          <w:sz w:val="32"/>
          <w:szCs w:val="32"/>
        </w:rPr>
        <w:t>完成预算13</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201</w:t>
      </w:r>
      <w:r>
        <w:rPr>
          <w:rFonts w:ascii="仿宋_GB2312" w:eastAsia="仿宋_GB2312" w:hint="eastAsia"/>
          <w:sz w:val="32"/>
          <w:szCs w:val="32"/>
        </w:rPr>
        <w:t>9年增减少0.16万元，下降55.18</w:t>
      </w:r>
      <w:r>
        <w:rPr>
          <w:rFonts w:ascii="仿宋_GB2312" w:eastAsia="仿宋_GB2312"/>
          <w:sz w:val="32"/>
          <w:szCs w:val="32"/>
        </w:rPr>
        <w:t>%</w:t>
      </w:r>
      <w:r>
        <w:rPr>
          <w:rFonts w:ascii="仿宋_GB2312" w:eastAsia="仿宋_GB2312" w:hint="eastAsia"/>
          <w:sz w:val="32"/>
          <w:szCs w:val="32"/>
        </w:rPr>
        <w:t>。主要原因是</w:t>
      </w:r>
      <w:r>
        <w:rPr>
          <w:rFonts w:ascii="仿宋" w:eastAsia="仿宋" w:hAnsi="仿宋" w:hint="eastAsia"/>
          <w:sz w:val="32"/>
          <w:szCs w:val="32"/>
        </w:rPr>
        <w:t>本年厉行节约，严格控制接待费支出</w:t>
      </w:r>
      <w:r>
        <w:rPr>
          <w:rFonts w:ascii="仿宋_GB2312" w:eastAsia="仿宋_GB2312" w:hint="eastAsia"/>
          <w:sz w:val="32"/>
          <w:szCs w:val="32"/>
        </w:rPr>
        <w:t>。其中：</w:t>
      </w:r>
    </w:p>
    <w:p w:rsidR="00F84626" w:rsidRDefault="00072B79">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0.13</w:t>
      </w:r>
      <w:r>
        <w:rPr>
          <w:rFonts w:ascii="仿宋_GB2312" w:eastAsia="仿宋_GB2312" w:hint="eastAsia"/>
          <w:sz w:val="32"/>
          <w:szCs w:val="32"/>
        </w:rPr>
        <w:t>万元，</w:t>
      </w:r>
      <w:r>
        <w:rPr>
          <w:rFonts w:ascii="宋体" w:eastAsia="仿宋" w:hAnsi="宋体" w:hint="eastAsia"/>
          <w:color w:val="000000"/>
          <w:sz w:val="32"/>
          <w:szCs w:val="32"/>
        </w:rPr>
        <w:t>主要用于执行公务、开展业务活动开支的交通费、住宿费、用餐费等。</w:t>
      </w:r>
      <w:r>
        <w:rPr>
          <w:rFonts w:ascii="仿宋_GB2312" w:eastAsia="仿宋_GB2312" w:hint="eastAsia"/>
          <w:sz w:val="32"/>
          <w:szCs w:val="32"/>
        </w:rPr>
        <w:t>国内公务接待6批次，27人次（不包括陪同人员），共计支出0.13万元，</w:t>
      </w:r>
      <w:r>
        <w:rPr>
          <w:rFonts w:ascii="宋体" w:eastAsia="仿宋" w:hAnsi="宋体" w:hint="eastAsia"/>
          <w:color w:val="000000"/>
          <w:sz w:val="32"/>
          <w:szCs w:val="32"/>
        </w:rPr>
        <w:t>具体内容包括：监狱与地方政法部门办理业务协作等。</w:t>
      </w:r>
    </w:p>
    <w:p w:rsidR="00F84626" w:rsidRDefault="00072B79">
      <w:pPr>
        <w:spacing w:line="600" w:lineRule="exact"/>
        <w:ind w:firstLineChars="200" w:firstLine="643"/>
        <w:rPr>
          <w:rFonts w:ascii="仿宋_GB2312" w:eastAsia="仿宋"/>
          <w:sz w:val="32"/>
          <w:szCs w:val="32"/>
        </w:rPr>
      </w:pPr>
      <w:r>
        <w:rPr>
          <w:rFonts w:ascii="仿宋" w:eastAsia="仿宋" w:hAnsi="仿宋" w:hint="eastAsia"/>
          <w:b/>
          <w:sz w:val="32"/>
          <w:szCs w:val="32"/>
        </w:rPr>
        <w:t>外事接待支出</w:t>
      </w:r>
      <w:r>
        <w:rPr>
          <w:rFonts w:ascii="仿宋_GB2312" w:eastAsia="仿宋_GB2312" w:hint="eastAsia"/>
          <w:b/>
          <w:bCs/>
          <w:sz w:val="32"/>
          <w:szCs w:val="32"/>
        </w:rPr>
        <w:t>无</w:t>
      </w:r>
      <w:r>
        <w:rPr>
          <w:rFonts w:ascii="仿宋_GB2312" w:eastAsia="仿宋_GB2312" w:hint="eastAsia"/>
          <w:sz w:val="32"/>
          <w:szCs w:val="32"/>
        </w:rPr>
        <w:t>。</w:t>
      </w:r>
    </w:p>
    <w:p w:rsidR="00F84626" w:rsidRDefault="00F84626">
      <w:pPr>
        <w:spacing w:line="600" w:lineRule="exact"/>
        <w:ind w:firstLine="640"/>
        <w:outlineLvl w:val="1"/>
        <w:rPr>
          <w:rFonts w:ascii="黑体" w:eastAsia="黑体"/>
          <w:sz w:val="32"/>
          <w:szCs w:val="32"/>
        </w:rPr>
      </w:pPr>
      <w:bookmarkStart w:id="41" w:name="_Toc15377218"/>
      <w:bookmarkStart w:id="42" w:name="_Toc15396610"/>
    </w:p>
    <w:p w:rsidR="00F84626" w:rsidRDefault="00072B79">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84626" w:rsidRDefault="00072B7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20年无政府性基金预算财政拨款支出。</w:t>
      </w:r>
    </w:p>
    <w:p w:rsidR="00F84626" w:rsidRDefault="00F84626">
      <w:pPr>
        <w:spacing w:line="600" w:lineRule="exact"/>
        <w:ind w:firstLine="640"/>
        <w:rPr>
          <w:rFonts w:ascii="仿宋_GB2312" w:eastAsia="仿宋_GB2312"/>
          <w:sz w:val="32"/>
          <w:szCs w:val="32"/>
        </w:rPr>
      </w:pPr>
    </w:p>
    <w:p w:rsidR="00F84626" w:rsidRDefault="00072B79">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84626" w:rsidRDefault="00072B7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20年无国有资本经营预算财政拨款支出。</w:t>
      </w:r>
    </w:p>
    <w:p w:rsidR="00F84626" w:rsidRDefault="00F84626">
      <w:pPr>
        <w:spacing w:line="580" w:lineRule="exact"/>
        <w:jc w:val="center"/>
        <w:rPr>
          <w:rFonts w:ascii="方正小标宋简体" w:eastAsia="方正小标宋简体" w:hAnsi="方正小标宋简体" w:cs="方正小标宋简体"/>
          <w:sz w:val="44"/>
          <w:szCs w:val="44"/>
        </w:rPr>
      </w:pPr>
    </w:p>
    <w:p w:rsidR="00F84626" w:rsidRDefault="00072B79">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F84626" w:rsidRDefault="00072B79">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F84626" w:rsidRDefault="00072B79">
      <w:pPr>
        <w:tabs>
          <w:tab w:val="left" w:pos="6930"/>
        </w:tabs>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至诚</w:t>
      </w:r>
      <w:r>
        <w:rPr>
          <w:rFonts w:ascii="仿宋_GB2312" w:eastAsia="仿宋_GB2312" w:hint="eastAsia"/>
          <w:sz w:val="32"/>
          <w:szCs w:val="32"/>
        </w:rPr>
        <w:t>监狱机关运行经费支出38.62万元，比</w:t>
      </w:r>
      <w:r>
        <w:rPr>
          <w:rFonts w:ascii="仿宋_GB2312" w:eastAsia="仿宋_GB2312"/>
          <w:sz w:val="32"/>
          <w:szCs w:val="32"/>
        </w:rPr>
        <w:t>201</w:t>
      </w:r>
      <w:r>
        <w:rPr>
          <w:rFonts w:ascii="仿宋_GB2312" w:eastAsia="仿宋_GB2312" w:hint="eastAsia"/>
          <w:sz w:val="32"/>
          <w:szCs w:val="32"/>
        </w:rPr>
        <w:t>9年减少5.57万元，下降12.61</w:t>
      </w:r>
      <w:r>
        <w:rPr>
          <w:rFonts w:ascii="仿宋_GB2312" w:eastAsia="仿宋_GB2312"/>
          <w:sz w:val="32"/>
          <w:szCs w:val="32"/>
        </w:rPr>
        <w:t>%</w:t>
      </w:r>
      <w:r>
        <w:rPr>
          <w:rFonts w:ascii="仿宋_GB2312" w:eastAsia="仿宋_GB2312" w:hint="eastAsia"/>
          <w:sz w:val="32"/>
          <w:szCs w:val="32"/>
        </w:rPr>
        <w:t>。主要原因是受疫情影响，相应的费用减少。</w:t>
      </w:r>
    </w:p>
    <w:p w:rsidR="00F84626" w:rsidRDefault="00072B79">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F84626" w:rsidRDefault="00072B79">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至诚</w:t>
      </w:r>
      <w:r>
        <w:rPr>
          <w:rFonts w:ascii="仿宋_GB2312" w:eastAsia="仿宋_GB2312" w:hint="eastAsia"/>
          <w:sz w:val="32"/>
          <w:szCs w:val="32"/>
        </w:rPr>
        <w:t>监狱政府采购支出总额15.77万元，其中：政府采购货物支出0.77万元、政府采购服务支出15万元。</w:t>
      </w:r>
      <w:r>
        <w:rPr>
          <w:rFonts w:ascii="宋体" w:eastAsia="仿宋" w:hAnsi="宋体" w:hint="eastAsia"/>
          <w:color w:val="000000"/>
          <w:sz w:val="32"/>
          <w:szCs w:val="32"/>
        </w:rPr>
        <w:t>主要用于监狱监控安防建设等。</w:t>
      </w:r>
      <w:r>
        <w:rPr>
          <w:rFonts w:ascii="仿宋_GB2312" w:eastAsia="仿宋_GB2312" w:hint="eastAsia"/>
          <w:sz w:val="32"/>
          <w:szCs w:val="32"/>
        </w:rPr>
        <w:t>授予中小企业合同金额7万元，占政府采购支出总额的44.39</w:t>
      </w:r>
      <w:r>
        <w:rPr>
          <w:rFonts w:ascii="仿宋_GB2312" w:eastAsia="仿宋_GB2312"/>
          <w:sz w:val="32"/>
          <w:szCs w:val="32"/>
        </w:rPr>
        <w:t>%</w:t>
      </w:r>
      <w:r>
        <w:rPr>
          <w:rFonts w:ascii="仿宋_GB2312" w:eastAsia="仿宋_GB2312" w:hint="eastAsia"/>
          <w:sz w:val="32"/>
          <w:szCs w:val="32"/>
        </w:rPr>
        <w:t>。</w:t>
      </w:r>
    </w:p>
    <w:p w:rsidR="00F84626" w:rsidRDefault="00072B79">
      <w:pPr>
        <w:spacing w:line="600" w:lineRule="exact"/>
        <w:ind w:firstLineChars="200" w:firstLine="643"/>
        <w:rPr>
          <w:rFonts w:ascii="仿宋" w:eastAsia="仿宋" w:hAnsi="仿宋"/>
          <w:b/>
          <w:color w:val="FF0000"/>
          <w:sz w:val="32"/>
          <w:szCs w:val="32"/>
        </w:rPr>
      </w:pPr>
      <w:bookmarkStart w:id="49" w:name="_Toc15377224"/>
      <w:r>
        <w:rPr>
          <w:rFonts w:ascii="仿宋" w:eastAsia="仿宋" w:hAnsi="仿宋" w:hint="eastAsia"/>
          <w:b/>
          <w:sz w:val="32"/>
          <w:szCs w:val="32"/>
        </w:rPr>
        <w:t>（三）国有资产占有使用情况</w:t>
      </w:r>
      <w:bookmarkEnd w:id="49"/>
    </w:p>
    <w:p w:rsidR="00F84626" w:rsidRDefault="00072B79">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sz w:val="32"/>
          <w:szCs w:val="32"/>
        </w:rPr>
        <w:t>至诚</w:t>
      </w:r>
      <w:r>
        <w:rPr>
          <w:rFonts w:ascii="仿宋_GB2312" w:eastAsia="仿宋_GB2312" w:hint="eastAsia"/>
          <w:sz w:val="32"/>
          <w:szCs w:val="32"/>
        </w:rPr>
        <w:t>监狱共有车辆6辆，其中：</w:t>
      </w:r>
      <w:r>
        <w:rPr>
          <w:rFonts w:ascii="宋体" w:eastAsia="仿宋" w:hAnsi="宋体" w:hint="eastAsia"/>
          <w:color w:val="000000"/>
          <w:sz w:val="32"/>
          <w:szCs w:val="32"/>
        </w:rPr>
        <w:t>执法执勤用车</w:t>
      </w:r>
      <w:r>
        <w:rPr>
          <w:rFonts w:ascii="宋体" w:eastAsia="仿宋" w:hAnsi="宋体" w:hint="eastAsia"/>
          <w:color w:val="000000"/>
          <w:sz w:val="32"/>
          <w:szCs w:val="32"/>
        </w:rPr>
        <w:t>5</w:t>
      </w:r>
      <w:r>
        <w:rPr>
          <w:rFonts w:ascii="宋体" w:eastAsia="仿宋" w:hAnsi="宋体" w:hint="eastAsia"/>
          <w:color w:val="000000"/>
          <w:sz w:val="32"/>
          <w:szCs w:val="32"/>
        </w:rPr>
        <w:t>辆、特种专业技术用车</w:t>
      </w:r>
      <w:r>
        <w:rPr>
          <w:rFonts w:ascii="宋体" w:eastAsia="仿宋" w:hAnsi="宋体" w:hint="eastAsia"/>
          <w:color w:val="000000"/>
          <w:sz w:val="32"/>
          <w:szCs w:val="32"/>
        </w:rPr>
        <w:t>1</w:t>
      </w:r>
      <w:r>
        <w:rPr>
          <w:rFonts w:ascii="宋体" w:eastAsia="仿宋" w:hAnsi="宋体" w:hint="eastAsia"/>
          <w:color w:val="000000"/>
          <w:sz w:val="32"/>
          <w:szCs w:val="32"/>
        </w:rPr>
        <w:t>辆</w:t>
      </w:r>
      <w:r>
        <w:rPr>
          <w:rFonts w:ascii="仿宋_GB2312" w:eastAsia="仿宋_GB2312" w:hint="eastAsia"/>
          <w:sz w:val="32"/>
          <w:szCs w:val="32"/>
        </w:rPr>
        <w:t>。无单价</w:t>
      </w:r>
      <w:r>
        <w:rPr>
          <w:rFonts w:ascii="仿宋_GB2312" w:eastAsia="仿宋_GB2312"/>
          <w:sz w:val="32"/>
          <w:szCs w:val="32"/>
        </w:rPr>
        <w:t>50</w:t>
      </w:r>
      <w:r>
        <w:rPr>
          <w:rFonts w:ascii="仿宋_GB2312" w:eastAsia="仿宋_GB2312" w:hint="eastAsia"/>
          <w:sz w:val="32"/>
          <w:szCs w:val="32"/>
        </w:rPr>
        <w:t>万元以上通用设备，无单价</w:t>
      </w:r>
      <w:r>
        <w:rPr>
          <w:rFonts w:ascii="仿宋_GB2312" w:eastAsia="仿宋_GB2312"/>
          <w:sz w:val="32"/>
          <w:szCs w:val="32"/>
        </w:rPr>
        <w:t>100</w:t>
      </w:r>
      <w:r>
        <w:rPr>
          <w:rFonts w:ascii="仿宋_GB2312" w:eastAsia="仿宋_GB2312" w:hint="eastAsia"/>
          <w:sz w:val="32"/>
          <w:szCs w:val="32"/>
        </w:rPr>
        <w:t>万元以上专用设备。</w:t>
      </w:r>
    </w:p>
    <w:p w:rsidR="00F84626" w:rsidRDefault="00072B79">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84626" w:rsidRDefault="00072B79">
      <w:pPr>
        <w:spacing w:line="58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根据预算绩效管理要求，本单位在2020年度预算编制阶段</w:t>
      </w:r>
      <w:r w:rsidR="007E1FC8">
        <w:rPr>
          <w:rFonts w:ascii="仿宋_GB2312" w:eastAsia="仿宋_GB2312" w:hAnsi="仿宋_GB2312" w:cs="仿宋_GB2312" w:hint="eastAsia"/>
          <w:sz w:val="32"/>
          <w:szCs w:val="32"/>
        </w:rPr>
        <w:t>，</w:t>
      </w:r>
      <w:r w:rsidR="00743350">
        <w:rPr>
          <w:rFonts w:ascii="仿宋_GB2312" w:eastAsia="仿宋_GB2312" w:hAnsi="仿宋_GB2312" w:cs="仿宋_GB2312" w:hint="eastAsia"/>
          <w:sz w:val="32"/>
          <w:szCs w:val="32"/>
        </w:rPr>
        <w:t>无100万元以上（含）特定目标类部门预算项目。</w:t>
      </w:r>
    </w:p>
    <w:p w:rsidR="00F84626" w:rsidRDefault="00072B7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本单位按要求对2020年整体支出开展绩效自评，</w:t>
      </w:r>
      <w:r>
        <w:rPr>
          <w:rFonts w:ascii="宋体" w:eastAsia="仿宋" w:hAnsi="宋体" w:cs="仿宋_GB2312" w:hint="eastAsia"/>
          <w:sz w:val="32"/>
          <w:szCs w:val="32"/>
        </w:rPr>
        <w:t>从评价情况来看，本单位预算整体支出绩效的效果性、经济性和</w:t>
      </w:r>
      <w:r>
        <w:rPr>
          <w:rFonts w:ascii="宋体" w:eastAsia="仿宋" w:hAnsi="宋体" w:cs="仿宋_GB2312" w:hint="eastAsia"/>
          <w:sz w:val="32"/>
          <w:szCs w:val="32"/>
        </w:rPr>
        <w:lastRenderedPageBreak/>
        <w:t>效率性得到很大提升</w:t>
      </w:r>
      <w:r>
        <w:rPr>
          <w:rFonts w:ascii="仿宋_GB2312" w:eastAsia="仿宋_GB2312" w:hAnsi="仿宋_GB2312" w:cs="仿宋_GB2312" w:hint="eastAsia"/>
          <w:sz w:val="32"/>
          <w:szCs w:val="32"/>
        </w:rPr>
        <w:t>。本单位无专项预算项目，因此未开展项目支出绩效评价。</w:t>
      </w:r>
    </w:p>
    <w:p w:rsidR="00F84626" w:rsidRDefault="00072B79">
      <w:pPr>
        <w:spacing w:line="580" w:lineRule="atLeas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1.项目绩效目标完成情况。</w:t>
      </w:r>
    </w:p>
    <w:p w:rsidR="00F84626" w:rsidRDefault="00072B79">
      <w:pPr>
        <w:spacing w:line="580" w:lineRule="atLeas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2020年至诚监狱的项目按要求完成了绩效目标，因项目内容涉密（敏感），不予主动公开。</w:t>
      </w:r>
    </w:p>
    <w:p w:rsidR="00F84626" w:rsidRDefault="00072B79">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2.单位绩效评价结果。</w:t>
      </w:r>
    </w:p>
    <w:p w:rsidR="00F84626" w:rsidRDefault="00072B79" w:rsidP="006E5CFD">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2020年至诚监狱按要求进行了绩效自评，因内容涉密（敏感），不予主动公开。</w:t>
      </w: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Default="004B603A" w:rsidP="004B603A">
      <w:pPr>
        <w:pStyle w:val="a0"/>
        <w:spacing w:before="93"/>
      </w:pPr>
    </w:p>
    <w:p w:rsidR="004B603A" w:rsidRPr="004B603A" w:rsidRDefault="004B603A" w:rsidP="004B603A">
      <w:pPr>
        <w:pStyle w:val="a0"/>
        <w:spacing w:before="93"/>
      </w:pPr>
    </w:p>
    <w:p w:rsidR="00F84626" w:rsidRDefault="00072B79">
      <w:pPr>
        <w:numPr>
          <w:ilvl w:val="0"/>
          <w:numId w:val="4"/>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0"/>
      <w:bookmarkEnd w:id="51"/>
    </w:p>
    <w:p w:rsidR="00F84626" w:rsidRDefault="00F84626">
      <w:pPr>
        <w:spacing w:line="600" w:lineRule="exact"/>
        <w:jc w:val="left"/>
        <w:rPr>
          <w:rFonts w:ascii="宋体"/>
          <w:b/>
          <w:color w:val="000000"/>
          <w:sz w:val="44"/>
          <w:szCs w:val="44"/>
        </w:rPr>
      </w:pPr>
    </w:p>
    <w:p w:rsidR="00F84626" w:rsidRDefault="00072B79">
      <w:pPr>
        <w:spacing w:line="580" w:lineRule="atLeast"/>
        <w:ind w:firstLineChars="200" w:firstLine="640"/>
        <w:rPr>
          <w:rFonts w:ascii="仿宋_GB2312" w:eastAsia="仿宋_GB2312" w:hAnsi="仿宋_GB2312" w:cs="仿宋_GB2312"/>
          <w:sz w:val="32"/>
          <w:szCs w:val="32"/>
        </w:rPr>
      </w:pPr>
      <w:bookmarkStart w:id="52" w:name="_Toc15377226"/>
      <w:r>
        <w:rPr>
          <w:rFonts w:ascii="仿宋_GB2312" w:eastAsia="仿宋_GB2312" w:hAnsi="仿宋_GB2312" w:cs="仿宋_GB2312" w:hint="eastAsia"/>
          <w:sz w:val="32"/>
          <w:szCs w:val="32"/>
        </w:rPr>
        <w:t xml:space="preserve">1、财政拨款收入：指省级财政当年拨付的资金。 </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2、其他收入：指除上述“财政拨款收入”、“经营收入”等以外的收入。主要包括省</w:t>
      </w:r>
      <w:proofErr w:type="gramStart"/>
      <w:r>
        <w:rPr>
          <w:rFonts w:ascii="仿宋_GB2312" w:eastAsia="仿宋_GB2312" w:hAnsi="仿宋_GB2312" w:cs="仿宋_GB2312" w:hint="eastAsia"/>
          <w:sz w:val="32"/>
          <w:szCs w:val="32"/>
        </w:rPr>
        <w:t>卫健委拨入</w:t>
      </w:r>
      <w:proofErr w:type="gramEnd"/>
      <w:r>
        <w:rPr>
          <w:rFonts w:ascii="仿宋_GB2312" w:eastAsia="仿宋_GB2312" w:hAnsi="仿宋_GB2312" w:cs="仿宋_GB2312" w:hint="eastAsia"/>
          <w:sz w:val="32"/>
          <w:szCs w:val="32"/>
        </w:rPr>
        <w:t xml:space="preserve">的离休干部医药费等。 </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3、年初结转和结余：指以前年度尚未完成、结转到本年按有关规定继续使用的资金。 </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公共安全支出：监狱行政运行（2040701），反映行政单位(包括实行公务员管理的事业单位）的基本支出；监狱一般行政管理事务（2040702），反映行政单位(包括实行公务员管理的事业单位）未单独设置项级科目的其他项目支出；机关服务（2040703），反映行政单位（包括实行公务员管理的事业单位）提供后勤服务的各类后勤服务中心、医务室等附属事业单位的支出；其他公共安全支出（2049901），反映其他用于公共安全方面的支出。</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5、教育支出：培训支出（2050803），反映各部门安排的用于培训的支出。</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社会保障和就业支出:行政单位离退休（2080501），反映行政单位开支的离退休经费；事业单位离退休（2080502），反映事业单位开支的离退休经费；机关事业单位基本养老保险缴费支出（2080505），反映机关事业单位实施养老保险制度由单位缴纳的基本养老保险费支出；机关事</w:t>
      </w:r>
      <w:r>
        <w:rPr>
          <w:rFonts w:ascii="仿宋_GB2312" w:eastAsia="仿宋_GB2312" w:hAnsi="仿宋_GB2312" w:cs="仿宋_GB2312" w:hint="eastAsia"/>
          <w:sz w:val="32"/>
          <w:szCs w:val="32"/>
        </w:rPr>
        <w:lastRenderedPageBreak/>
        <w:t>业单位职业年金缴费支出（2080506），反映机关事业单位实施养老保险制度由单位实际缴纳的职业年金支出。死亡抚恤（2080801），反映按规定用于烈士和牺牲、病故人员家属的一次性定期抚恤金以及丧葬补助费；其他社会保障和就业支出（2089901），反映除上述项目以外其他用于社会保障和就业方面的支出。</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卫生健康支出:重大公共卫生服务（2100409），反映重大疾病、重大传染病预防控制等重大公共卫生服务项目支出；行政单位医疗（2101101），反应财政部门安排的行政单位基本医疗保险缴费经费，未参加医疗保险的行政单位的公费医疗经费，按国家规定享受离休人员、红军老战士待遇人员的医疗经费；事业单位医疗（2101102），反应财政部门安排的事业单位基本医疗保险缴费经费，未参加医疗保险的事业单位的公费医疗经费，按国家规定享受离休人员待遇的医疗经费；公务员医疗补助（2101103），反应财政部门安排的公务员医疗补助经费。</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住房保障支出：住房公积金（2210201），反映行政事业单位按人力资源和社会保障部、财政部规定的基本工资和津补贴以及规定比例为职工缴纳的住房公积金；购房补贴（2210203），反映按房改政策规定，行政事业单位向符合条件职工（含离退休人员）、军队（含武警）向转役复员离退休人员发放的用于购买住房的补贴。</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9、年末结转和结余：指本年度或以前年度预算安排、因客观条件发生变化无法按原计划实施，需延迟到以后年度按有关规定继续使用的资金。</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10、基本支出：指为保障机构正常运转、完成日常工作任务而发生的人员支出和公用支出。</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11、项目支出：指在基本支出之外为完成特定行政任务和事业发展目标所发生的支出。 </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12、“三公”经费：纳入省级财政预决算管理的“三公”经费，是指部门用财政拨款安排的因公出国（境）费、公务用车购置及运行费和公务接待费。其中，因公出国（境）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F84626" w:rsidRDefault="00072B79">
      <w:pPr>
        <w:spacing w:line="58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84626" w:rsidRDefault="00072B79">
      <w:pPr>
        <w:spacing w:line="600" w:lineRule="exact"/>
        <w:jc w:val="center"/>
        <w:outlineLvl w:val="0"/>
        <w:rPr>
          <w:rFonts w:ascii="仿宋" w:eastAsia="仿宋" w:hAnsi="仿宋"/>
          <w:color w:val="000000"/>
        </w:rPr>
      </w:pPr>
      <w:r>
        <w:rPr>
          <w:rFonts w:ascii="宋体"/>
          <w:b/>
          <w:color w:val="000000"/>
          <w:sz w:val="44"/>
          <w:szCs w:val="44"/>
        </w:rPr>
        <w:br w:type="page"/>
      </w:r>
      <w:bookmarkStart w:id="53" w:name="_Toc15396618"/>
      <w:r>
        <w:rPr>
          <w:rFonts w:ascii="黑体" w:eastAsia="黑体" w:hAnsi="黑体" w:hint="eastAsia"/>
          <w:color w:val="000000"/>
          <w:sz w:val="44"/>
          <w:szCs w:val="44"/>
        </w:rPr>
        <w:lastRenderedPageBreak/>
        <w:t>第</w:t>
      </w:r>
      <w:r w:rsidR="009F276C">
        <w:rPr>
          <w:rStyle w:val="1Char"/>
          <w:rFonts w:ascii="黑体" w:eastAsia="黑体" w:hAnsi="黑体" w:hint="eastAsia"/>
          <w:b w:val="0"/>
        </w:rPr>
        <w:t>四</w:t>
      </w:r>
      <w:r>
        <w:rPr>
          <w:rStyle w:val="1Char"/>
          <w:rFonts w:ascii="黑体" w:eastAsia="黑体" w:hAnsi="黑体" w:hint="eastAsia"/>
          <w:b w:val="0"/>
        </w:rPr>
        <w:t>部分 附表</w:t>
      </w:r>
      <w:bookmarkStart w:id="54" w:name="_Toc15396619"/>
      <w:bookmarkEnd w:id="52"/>
      <w:bookmarkEnd w:id="53"/>
    </w:p>
    <w:p w:rsidR="00F84626" w:rsidRDefault="00072B79">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4"/>
    </w:p>
    <w:p w:rsidR="00F84626" w:rsidRDefault="00072B79">
      <w:pPr>
        <w:pStyle w:val="2"/>
        <w:rPr>
          <w:rFonts w:ascii="仿宋" w:eastAsia="仿宋" w:hAnsi="仿宋"/>
          <w:color w:val="000000"/>
        </w:rPr>
      </w:pPr>
      <w:bookmarkStart w:id="55" w:name="_Toc15396620"/>
      <w:r>
        <w:rPr>
          <w:rFonts w:ascii="仿宋" w:eastAsia="仿宋" w:hAnsi="仿宋" w:hint="eastAsia"/>
          <w:b w:val="0"/>
          <w:color w:val="000000"/>
        </w:rPr>
        <w:t>二、收</w:t>
      </w:r>
      <w:r>
        <w:rPr>
          <w:rStyle w:val="2Char"/>
          <w:rFonts w:ascii="仿宋" w:eastAsia="仿宋" w:hAnsi="仿宋" w:hint="eastAsia"/>
        </w:rPr>
        <w:t>入决算表</w:t>
      </w:r>
      <w:bookmarkEnd w:id="55"/>
    </w:p>
    <w:p w:rsidR="00F84626" w:rsidRDefault="00072B79">
      <w:pPr>
        <w:pStyle w:val="2"/>
        <w:rPr>
          <w:rFonts w:ascii="仿宋" w:eastAsia="仿宋" w:hAnsi="仿宋"/>
          <w:color w:val="000000"/>
        </w:rPr>
      </w:pPr>
      <w:bookmarkStart w:id="5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6"/>
    </w:p>
    <w:p w:rsidR="00F84626" w:rsidRDefault="00072B79">
      <w:pPr>
        <w:pStyle w:val="2"/>
        <w:rPr>
          <w:rFonts w:ascii="仿宋" w:eastAsia="仿宋" w:hAnsi="仿宋"/>
          <w:b w:val="0"/>
          <w:color w:val="000000"/>
        </w:rPr>
      </w:pPr>
      <w:bookmarkStart w:id="5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7"/>
    </w:p>
    <w:p w:rsidR="00F84626" w:rsidRDefault="00072B79">
      <w:pPr>
        <w:pStyle w:val="2"/>
        <w:rPr>
          <w:rStyle w:val="2Char"/>
          <w:rFonts w:ascii="仿宋" w:eastAsia="仿宋" w:hAnsi="仿宋"/>
          <w:b/>
          <w:bCs/>
          <w:color w:val="FF0000"/>
        </w:rPr>
      </w:pPr>
      <w:bookmarkStart w:id="58" w:name="_Toc15396623"/>
      <w:r>
        <w:rPr>
          <w:rStyle w:val="2Char"/>
          <w:rFonts w:ascii="仿宋" w:eastAsia="仿宋" w:hAnsi="仿宋" w:hint="eastAsia"/>
        </w:rPr>
        <w:t>五、</w:t>
      </w:r>
      <w:r>
        <w:rPr>
          <w:rFonts w:ascii="仿宋" w:eastAsia="仿宋" w:hAnsi="仿宋" w:hint="eastAsia"/>
          <w:b w:val="0"/>
          <w:bCs w:val="0"/>
        </w:rPr>
        <w:t>财</w:t>
      </w:r>
      <w:r>
        <w:rPr>
          <w:rStyle w:val="2Char"/>
          <w:rFonts w:ascii="仿宋" w:eastAsia="仿宋" w:hAnsi="仿宋" w:hint="eastAsia"/>
        </w:rPr>
        <w:t>政拨款支出决算明细表</w:t>
      </w:r>
      <w:bookmarkStart w:id="59" w:name="_Toc15396624"/>
      <w:bookmarkEnd w:id="58"/>
    </w:p>
    <w:p w:rsidR="00F84626" w:rsidRDefault="00072B79">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59"/>
    </w:p>
    <w:p w:rsidR="00F84626" w:rsidRDefault="00072B79">
      <w:pPr>
        <w:pStyle w:val="2"/>
        <w:rPr>
          <w:rFonts w:ascii="仿宋" w:eastAsia="仿宋" w:hAnsi="仿宋"/>
          <w:color w:val="000000"/>
        </w:rPr>
      </w:pPr>
      <w:bookmarkStart w:id="6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0"/>
    </w:p>
    <w:p w:rsidR="00F84626" w:rsidRDefault="00072B79">
      <w:pPr>
        <w:pStyle w:val="2"/>
        <w:rPr>
          <w:rFonts w:ascii="仿宋" w:eastAsia="仿宋" w:hAnsi="仿宋"/>
          <w:color w:val="000000"/>
        </w:rPr>
      </w:pPr>
      <w:bookmarkStart w:id="6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1"/>
    </w:p>
    <w:p w:rsidR="00F84626" w:rsidRDefault="00072B79">
      <w:pPr>
        <w:pStyle w:val="2"/>
        <w:rPr>
          <w:rFonts w:ascii="仿宋" w:eastAsia="仿宋" w:hAnsi="仿宋"/>
          <w:color w:val="000000"/>
        </w:rPr>
      </w:pPr>
      <w:bookmarkStart w:id="6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2"/>
    </w:p>
    <w:p w:rsidR="00F84626" w:rsidRDefault="00072B79">
      <w:pPr>
        <w:pStyle w:val="2"/>
        <w:rPr>
          <w:rFonts w:ascii="仿宋" w:eastAsia="仿宋" w:hAnsi="仿宋"/>
          <w:color w:val="000000"/>
        </w:rPr>
      </w:pPr>
      <w:bookmarkStart w:id="6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3"/>
    </w:p>
    <w:p w:rsidR="00F84626" w:rsidRDefault="00072B79">
      <w:pPr>
        <w:pStyle w:val="2"/>
        <w:rPr>
          <w:rFonts w:ascii="仿宋" w:eastAsia="仿宋" w:hAnsi="仿宋"/>
          <w:color w:val="000000"/>
        </w:rPr>
      </w:pPr>
      <w:bookmarkStart w:id="6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4"/>
    </w:p>
    <w:p w:rsidR="00F84626" w:rsidRDefault="00072B79">
      <w:pPr>
        <w:pStyle w:val="2"/>
        <w:rPr>
          <w:rFonts w:ascii="仿宋" w:eastAsia="仿宋" w:hAnsi="仿宋"/>
          <w:color w:val="000000"/>
        </w:rPr>
      </w:pPr>
      <w:bookmarkStart w:id="6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5"/>
    </w:p>
    <w:p w:rsidR="00F84626" w:rsidRDefault="00072B79">
      <w:pPr>
        <w:pStyle w:val="2"/>
        <w:rPr>
          <w:rStyle w:val="2Char"/>
          <w:rFonts w:ascii="仿宋" w:eastAsia="仿宋" w:hAnsi="仿宋"/>
          <w:b/>
          <w:bCs/>
          <w:color w:val="FF0000"/>
        </w:rPr>
      </w:pPr>
      <w:bookmarkStart w:id="66" w:name="_Toc15396631"/>
      <w:r>
        <w:rPr>
          <w:rStyle w:val="2Char"/>
          <w:rFonts w:ascii="仿宋" w:eastAsia="仿宋" w:hAnsi="仿宋" w:hint="eastAsia"/>
        </w:rPr>
        <w:t>十三、</w:t>
      </w:r>
      <w:r>
        <w:rPr>
          <w:rFonts w:ascii="仿宋" w:eastAsia="仿宋" w:hAnsi="仿宋" w:hint="eastAsia"/>
          <w:b w:val="0"/>
          <w:bCs w:val="0"/>
        </w:rPr>
        <w:t>国</w:t>
      </w:r>
      <w:r>
        <w:rPr>
          <w:rStyle w:val="2Char"/>
          <w:rFonts w:ascii="仿宋" w:eastAsia="仿宋" w:hAnsi="仿宋" w:hint="eastAsia"/>
        </w:rPr>
        <w:t>有资本经营预算财政拨款收入支出决算表</w:t>
      </w:r>
      <w:bookmarkEnd w:id="66"/>
    </w:p>
    <w:p w:rsidR="00F84626" w:rsidRDefault="00072B79">
      <w:pPr>
        <w:rPr>
          <w:rFonts w:eastAsia="仿宋"/>
          <w:b/>
          <w:bCs/>
          <w:color w:val="FF0000"/>
        </w:rPr>
      </w:pPr>
      <w:r>
        <w:rPr>
          <w:rStyle w:val="2Char"/>
          <w:rFonts w:ascii="仿宋" w:eastAsia="仿宋" w:hAnsi="仿宋" w:hint="eastAsia"/>
          <w:b w:val="0"/>
          <w:bCs w:val="0"/>
        </w:rPr>
        <w:t>十四、国有资本经营预算财政拨款支出决算表</w:t>
      </w:r>
    </w:p>
    <w:sectPr w:rsidR="00F84626" w:rsidSect="00F84626">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DB" w:rsidRDefault="00A04ADB" w:rsidP="00F84626">
      <w:r>
        <w:separator/>
      </w:r>
    </w:p>
  </w:endnote>
  <w:endnote w:type="continuationSeparator" w:id="0">
    <w:p w:rsidR="00A04ADB" w:rsidRDefault="00A04ADB" w:rsidP="00F84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F84626" w:rsidRDefault="00D85E36">
        <w:pPr>
          <w:pStyle w:val="a5"/>
          <w:jc w:val="center"/>
        </w:pPr>
        <w:r>
          <w:fldChar w:fldCharType="begin"/>
        </w:r>
        <w:r w:rsidR="00072B79">
          <w:instrText>PAGE   \* MERGEFORMAT</w:instrText>
        </w:r>
        <w:r>
          <w:fldChar w:fldCharType="separate"/>
        </w:r>
        <w:r w:rsidR="000356EA" w:rsidRPr="000356EA">
          <w:rPr>
            <w:noProof/>
            <w:lang w:val="zh-CN"/>
          </w:rPr>
          <w:t>2</w:t>
        </w:r>
        <w:r>
          <w:fldChar w:fldCharType="end"/>
        </w:r>
      </w:p>
    </w:sdtContent>
  </w:sdt>
  <w:p w:rsidR="00F84626" w:rsidRDefault="00F846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DB" w:rsidRDefault="00A04ADB" w:rsidP="00F84626">
      <w:r>
        <w:separator/>
      </w:r>
    </w:p>
  </w:footnote>
  <w:footnote w:type="continuationSeparator" w:id="0">
    <w:p w:rsidR="00A04ADB" w:rsidRDefault="00A04ADB" w:rsidP="00F84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26" w:rsidRDefault="00F8462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JkZTgyNmQ3NTllYzE4ZTRjM2ZiNDlmOTExNjI4OWUifQ=="/>
  </w:docVars>
  <w:rsids>
    <w:rsidRoot w:val="00F1361C"/>
    <w:rsid w:val="00001C27"/>
    <w:rsid w:val="00011053"/>
    <w:rsid w:val="000165C1"/>
    <w:rsid w:val="00020BA2"/>
    <w:rsid w:val="00021F3E"/>
    <w:rsid w:val="000222C6"/>
    <w:rsid w:val="00024C57"/>
    <w:rsid w:val="0002549F"/>
    <w:rsid w:val="000356EA"/>
    <w:rsid w:val="000468DB"/>
    <w:rsid w:val="0006487A"/>
    <w:rsid w:val="00065F8F"/>
    <w:rsid w:val="00070A43"/>
    <w:rsid w:val="00072B79"/>
    <w:rsid w:val="000768F2"/>
    <w:rsid w:val="0007732E"/>
    <w:rsid w:val="00080E8A"/>
    <w:rsid w:val="0009184B"/>
    <w:rsid w:val="00091DBE"/>
    <w:rsid w:val="00093FE9"/>
    <w:rsid w:val="00094236"/>
    <w:rsid w:val="0009593C"/>
    <w:rsid w:val="000972C3"/>
    <w:rsid w:val="00097322"/>
    <w:rsid w:val="000A0177"/>
    <w:rsid w:val="000A6A92"/>
    <w:rsid w:val="000B047F"/>
    <w:rsid w:val="000B5923"/>
    <w:rsid w:val="000B5A48"/>
    <w:rsid w:val="000B5E31"/>
    <w:rsid w:val="000B6FF3"/>
    <w:rsid w:val="000C3467"/>
    <w:rsid w:val="000C3CA6"/>
    <w:rsid w:val="000D1267"/>
    <w:rsid w:val="000D1D50"/>
    <w:rsid w:val="000D3237"/>
    <w:rsid w:val="000D4ACC"/>
    <w:rsid w:val="000D5782"/>
    <w:rsid w:val="000D5AAF"/>
    <w:rsid w:val="000E6613"/>
    <w:rsid w:val="000E7119"/>
    <w:rsid w:val="00102784"/>
    <w:rsid w:val="00104C75"/>
    <w:rsid w:val="00107463"/>
    <w:rsid w:val="0011436C"/>
    <w:rsid w:val="00114E9B"/>
    <w:rsid w:val="00136A2B"/>
    <w:rsid w:val="00140552"/>
    <w:rsid w:val="00142216"/>
    <w:rsid w:val="00144D6A"/>
    <w:rsid w:val="001460A8"/>
    <w:rsid w:val="001470F4"/>
    <w:rsid w:val="0014729F"/>
    <w:rsid w:val="0015180F"/>
    <w:rsid w:val="00157BAB"/>
    <w:rsid w:val="0016409E"/>
    <w:rsid w:val="001654D1"/>
    <w:rsid w:val="00174518"/>
    <w:rsid w:val="001803E7"/>
    <w:rsid w:val="0018106D"/>
    <w:rsid w:val="001877A7"/>
    <w:rsid w:val="00191536"/>
    <w:rsid w:val="00195C9D"/>
    <w:rsid w:val="00196687"/>
    <w:rsid w:val="001A02EF"/>
    <w:rsid w:val="001C0962"/>
    <w:rsid w:val="001C0BFE"/>
    <w:rsid w:val="001D3898"/>
    <w:rsid w:val="001D4E6E"/>
    <w:rsid w:val="001D53E6"/>
    <w:rsid w:val="001D7531"/>
    <w:rsid w:val="001E038A"/>
    <w:rsid w:val="001E737D"/>
    <w:rsid w:val="001F0592"/>
    <w:rsid w:val="001F0850"/>
    <w:rsid w:val="001F11BF"/>
    <w:rsid w:val="001F170C"/>
    <w:rsid w:val="001F7506"/>
    <w:rsid w:val="002006CD"/>
    <w:rsid w:val="002012E3"/>
    <w:rsid w:val="00202B36"/>
    <w:rsid w:val="00204B7A"/>
    <w:rsid w:val="00204CDE"/>
    <w:rsid w:val="0021101A"/>
    <w:rsid w:val="00220536"/>
    <w:rsid w:val="002268F0"/>
    <w:rsid w:val="0023151E"/>
    <w:rsid w:val="00235629"/>
    <w:rsid w:val="00235F07"/>
    <w:rsid w:val="00240E29"/>
    <w:rsid w:val="00260C38"/>
    <w:rsid w:val="002616C0"/>
    <w:rsid w:val="00265372"/>
    <w:rsid w:val="0026552F"/>
    <w:rsid w:val="002662AA"/>
    <w:rsid w:val="00266C2B"/>
    <w:rsid w:val="0027743D"/>
    <w:rsid w:val="00280496"/>
    <w:rsid w:val="00294DC9"/>
    <w:rsid w:val="00295495"/>
    <w:rsid w:val="002A31DE"/>
    <w:rsid w:val="002A3C74"/>
    <w:rsid w:val="002A5840"/>
    <w:rsid w:val="002B08A4"/>
    <w:rsid w:val="002B2613"/>
    <w:rsid w:val="002B3CEB"/>
    <w:rsid w:val="002C31F7"/>
    <w:rsid w:val="002D6D05"/>
    <w:rsid w:val="002E483F"/>
    <w:rsid w:val="002F1818"/>
    <w:rsid w:val="002F4E70"/>
    <w:rsid w:val="002F567B"/>
    <w:rsid w:val="0031323D"/>
    <w:rsid w:val="00314993"/>
    <w:rsid w:val="003216A9"/>
    <w:rsid w:val="003276DE"/>
    <w:rsid w:val="00332D43"/>
    <w:rsid w:val="00335A74"/>
    <w:rsid w:val="00343A49"/>
    <w:rsid w:val="00352108"/>
    <w:rsid w:val="0036561B"/>
    <w:rsid w:val="0037013F"/>
    <w:rsid w:val="003752D9"/>
    <w:rsid w:val="00376C79"/>
    <w:rsid w:val="00380C92"/>
    <w:rsid w:val="00391F21"/>
    <w:rsid w:val="003979B5"/>
    <w:rsid w:val="003A484F"/>
    <w:rsid w:val="003A4883"/>
    <w:rsid w:val="003B0BE0"/>
    <w:rsid w:val="003B0C1B"/>
    <w:rsid w:val="003B18E8"/>
    <w:rsid w:val="003B250B"/>
    <w:rsid w:val="003B32A8"/>
    <w:rsid w:val="003B688C"/>
    <w:rsid w:val="003C0291"/>
    <w:rsid w:val="003C39AE"/>
    <w:rsid w:val="003C4CA3"/>
    <w:rsid w:val="003C5150"/>
    <w:rsid w:val="003C7B60"/>
    <w:rsid w:val="003D0C0F"/>
    <w:rsid w:val="003D12DB"/>
    <w:rsid w:val="003D1FB2"/>
    <w:rsid w:val="003D66DA"/>
    <w:rsid w:val="003D6EDF"/>
    <w:rsid w:val="003E1310"/>
    <w:rsid w:val="003E26A9"/>
    <w:rsid w:val="003E57A3"/>
    <w:rsid w:val="003E6F55"/>
    <w:rsid w:val="003F6B2C"/>
    <w:rsid w:val="00401D07"/>
    <w:rsid w:val="00406254"/>
    <w:rsid w:val="004073F1"/>
    <w:rsid w:val="004171C0"/>
    <w:rsid w:val="004223DE"/>
    <w:rsid w:val="004304CA"/>
    <w:rsid w:val="00434489"/>
    <w:rsid w:val="00437085"/>
    <w:rsid w:val="004418CC"/>
    <w:rsid w:val="00443880"/>
    <w:rsid w:val="004464F4"/>
    <w:rsid w:val="004523E6"/>
    <w:rsid w:val="00453D65"/>
    <w:rsid w:val="004627AC"/>
    <w:rsid w:val="00463E3B"/>
    <w:rsid w:val="00464E0D"/>
    <w:rsid w:val="00466C3E"/>
    <w:rsid w:val="00471401"/>
    <w:rsid w:val="00473F31"/>
    <w:rsid w:val="0047647C"/>
    <w:rsid w:val="0048263A"/>
    <w:rsid w:val="00487E5D"/>
    <w:rsid w:val="00496929"/>
    <w:rsid w:val="004A711F"/>
    <w:rsid w:val="004B199D"/>
    <w:rsid w:val="004B4690"/>
    <w:rsid w:val="004B603A"/>
    <w:rsid w:val="004D3FC5"/>
    <w:rsid w:val="004D644A"/>
    <w:rsid w:val="004E0A2D"/>
    <w:rsid w:val="004E206B"/>
    <w:rsid w:val="004E4A3D"/>
    <w:rsid w:val="004E6DF7"/>
    <w:rsid w:val="004F0FBD"/>
    <w:rsid w:val="0050584D"/>
    <w:rsid w:val="00505A47"/>
    <w:rsid w:val="00512FDA"/>
    <w:rsid w:val="005161AD"/>
    <w:rsid w:val="00520DA0"/>
    <w:rsid w:val="00533B57"/>
    <w:rsid w:val="00537D3B"/>
    <w:rsid w:val="005407F6"/>
    <w:rsid w:val="00540F16"/>
    <w:rsid w:val="00544D46"/>
    <w:rsid w:val="005663F0"/>
    <w:rsid w:val="005664BB"/>
    <w:rsid w:val="00566FFA"/>
    <w:rsid w:val="00573B33"/>
    <w:rsid w:val="0057481D"/>
    <w:rsid w:val="005765AC"/>
    <w:rsid w:val="0058486E"/>
    <w:rsid w:val="00585A15"/>
    <w:rsid w:val="00585B33"/>
    <w:rsid w:val="0059014D"/>
    <w:rsid w:val="0059216D"/>
    <w:rsid w:val="00594778"/>
    <w:rsid w:val="00597412"/>
    <w:rsid w:val="005A2A4A"/>
    <w:rsid w:val="005A485F"/>
    <w:rsid w:val="005B5C64"/>
    <w:rsid w:val="005C5337"/>
    <w:rsid w:val="005C6BD0"/>
    <w:rsid w:val="005D1C8B"/>
    <w:rsid w:val="005D468D"/>
    <w:rsid w:val="005D5CED"/>
    <w:rsid w:val="005D79BD"/>
    <w:rsid w:val="005E79D5"/>
    <w:rsid w:val="005F1A4C"/>
    <w:rsid w:val="00605688"/>
    <w:rsid w:val="006070AF"/>
    <w:rsid w:val="00607E6C"/>
    <w:rsid w:val="006101B1"/>
    <w:rsid w:val="00614E44"/>
    <w:rsid w:val="006157D1"/>
    <w:rsid w:val="0062270A"/>
    <w:rsid w:val="00622830"/>
    <w:rsid w:val="00623DA0"/>
    <w:rsid w:val="00630AEF"/>
    <w:rsid w:val="006325F8"/>
    <w:rsid w:val="00633463"/>
    <w:rsid w:val="00634C9A"/>
    <w:rsid w:val="00636B82"/>
    <w:rsid w:val="006440E4"/>
    <w:rsid w:val="006447B8"/>
    <w:rsid w:val="0066343B"/>
    <w:rsid w:val="00664777"/>
    <w:rsid w:val="006649C5"/>
    <w:rsid w:val="00667973"/>
    <w:rsid w:val="00672C5E"/>
    <w:rsid w:val="006748A4"/>
    <w:rsid w:val="00681667"/>
    <w:rsid w:val="00681A31"/>
    <w:rsid w:val="00683E73"/>
    <w:rsid w:val="006A3141"/>
    <w:rsid w:val="006A5E34"/>
    <w:rsid w:val="006B2422"/>
    <w:rsid w:val="006B2B9A"/>
    <w:rsid w:val="006B3BF3"/>
    <w:rsid w:val="006C1937"/>
    <w:rsid w:val="006C232A"/>
    <w:rsid w:val="006E5CFD"/>
    <w:rsid w:val="006F020C"/>
    <w:rsid w:val="006F3064"/>
    <w:rsid w:val="006F457C"/>
    <w:rsid w:val="006F58CB"/>
    <w:rsid w:val="007127B7"/>
    <w:rsid w:val="0071798E"/>
    <w:rsid w:val="00725F00"/>
    <w:rsid w:val="007416B6"/>
    <w:rsid w:val="00743350"/>
    <w:rsid w:val="007468DA"/>
    <w:rsid w:val="00746F48"/>
    <w:rsid w:val="007472AE"/>
    <w:rsid w:val="0075404D"/>
    <w:rsid w:val="00754BBB"/>
    <w:rsid w:val="0076182A"/>
    <w:rsid w:val="00767B7E"/>
    <w:rsid w:val="007770C3"/>
    <w:rsid w:val="00784D24"/>
    <w:rsid w:val="00785FBA"/>
    <w:rsid w:val="00786E4A"/>
    <w:rsid w:val="007875EB"/>
    <w:rsid w:val="0079426B"/>
    <w:rsid w:val="00795CEB"/>
    <w:rsid w:val="007A0F73"/>
    <w:rsid w:val="007A4FBB"/>
    <w:rsid w:val="007C1DCC"/>
    <w:rsid w:val="007D1682"/>
    <w:rsid w:val="007D312A"/>
    <w:rsid w:val="007D3F19"/>
    <w:rsid w:val="007E09C3"/>
    <w:rsid w:val="007E1FC8"/>
    <w:rsid w:val="007E23B0"/>
    <w:rsid w:val="007E23E5"/>
    <w:rsid w:val="007F1991"/>
    <w:rsid w:val="007F27C1"/>
    <w:rsid w:val="007F2C2F"/>
    <w:rsid w:val="007F4B04"/>
    <w:rsid w:val="007F55FC"/>
    <w:rsid w:val="007F5665"/>
    <w:rsid w:val="00800112"/>
    <w:rsid w:val="00805F20"/>
    <w:rsid w:val="00813348"/>
    <w:rsid w:val="008231A2"/>
    <w:rsid w:val="008253BB"/>
    <w:rsid w:val="00831D4D"/>
    <w:rsid w:val="0083706E"/>
    <w:rsid w:val="008408F6"/>
    <w:rsid w:val="008418D5"/>
    <w:rsid w:val="008423A5"/>
    <w:rsid w:val="00850625"/>
    <w:rsid w:val="00853718"/>
    <w:rsid w:val="00855221"/>
    <w:rsid w:val="00860645"/>
    <w:rsid w:val="00871F71"/>
    <w:rsid w:val="00872FD8"/>
    <w:rsid w:val="00874A31"/>
    <w:rsid w:val="00885AF4"/>
    <w:rsid w:val="008939CD"/>
    <w:rsid w:val="00893F3E"/>
    <w:rsid w:val="008A711C"/>
    <w:rsid w:val="008B768C"/>
    <w:rsid w:val="008C282A"/>
    <w:rsid w:val="008C4DB1"/>
    <w:rsid w:val="008C4EAF"/>
    <w:rsid w:val="008C5176"/>
    <w:rsid w:val="008C61F5"/>
    <w:rsid w:val="008C7FD0"/>
    <w:rsid w:val="008D0697"/>
    <w:rsid w:val="008D181E"/>
    <w:rsid w:val="008E1DE7"/>
    <w:rsid w:val="008E707C"/>
    <w:rsid w:val="00900B08"/>
    <w:rsid w:val="00902155"/>
    <w:rsid w:val="00902FA3"/>
    <w:rsid w:val="00923564"/>
    <w:rsid w:val="0092392E"/>
    <w:rsid w:val="009243F4"/>
    <w:rsid w:val="009279D5"/>
    <w:rsid w:val="009315A6"/>
    <w:rsid w:val="009315F9"/>
    <w:rsid w:val="00932429"/>
    <w:rsid w:val="00933499"/>
    <w:rsid w:val="00935C98"/>
    <w:rsid w:val="00946945"/>
    <w:rsid w:val="00951248"/>
    <w:rsid w:val="0095152F"/>
    <w:rsid w:val="00953458"/>
    <w:rsid w:val="00954C49"/>
    <w:rsid w:val="00955E37"/>
    <w:rsid w:val="0097099F"/>
    <w:rsid w:val="00971997"/>
    <w:rsid w:val="009719D1"/>
    <w:rsid w:val="00971FFC"/>
    <w:rsid w:val="00984271"/>
    <w:rsid w:val="0098660A"/>
    <w:rsid w:val="009931C3"/>
    <w:rsid w:val="00994056"/>
    <w:rsid w:val="009948B9"/>
    <w:rsid w:val="009A20DE"/>
    <w:rsid w:val="009A67C6"/>
    <w:rsid w:val="009B2C43"/>
    <w:rsid w:val="009B4EAE"/>
    <w:rsid w:val="009B7573"/>
    <w:rsid w:val="009C22F4"/>
    <w:rsid w:val="009C2A4B"/>
    <w:rsid w:val="009C2E98"/>
    <w:rsid w:val="009D3447"/>
    <w:rsid w:val="009D42EF"/>
    <w:rsid w:val="009D4711"/>
    <w:rsid w:val="009F1185"/>
    <w:rsid w:val="009F18CD"/>
    <w:rsid w:val="009F276C"/>
    <w:rsid w:val="009F2A13"/>
    <w:rsid w:val="009F7527"/>
    <w:rsid w:val="00A01125"/>
    <w:rsid w:val="00A04ADB"/>
    <w:rsid w:val="00A04EB0"/>
    <w:rsid w:val="00A13CC1"/>
    <w:rsid w:val="00A14411"/>
    <w:rsid w:val="00A1683E"/>
    <w:rsid w:val="00A16847"/>
    <w:rsid w:val="00A237D8"/>
    <w:rsid w:val="00A268C4"/>
    <w:rsid w:val="00A307CD"/>
    <w:rsid w:val="00A3151E"/>
    <w:rsid w:val="00A331C8"/>
    <w:rsid w:val="00A365BD"/>
    <w:rsid w:val="00A40A00"/>
    <w:rsid w:val="00A4142F"/>
    <w:rsid w:val="00A422EB"/>
    <w:rsid w:val="00A45BB7"/>
    <w:rsid w:val="00A46A17"/>
    <w:rsid w:val="00A56DF2"/>
    <w:rsid w:val="00A56E6E"/>
    <w:rsid w:val="00A6206E"/>
    <w:rsid w:val="00A67AB5"/>
    <w:rsid w:val="00A71923"/>
    <w:rsid w:val="00A733B2"/>
    <w:rsid w:val="00A741C2"/>
    <w:rsid w:val="00A74CED"/>
    <w:rsid w:val="00A85E1F"/>
    <w:rsid w:val="00A91760"/>
    <w:rsid w:val="00A93224"/>
    <w:rsid w:val="00A93931"/>
    <w:rsid w:val="00A93B00"/>
    <w:rsid w:val="00A93C21"/>
    <w:rsid w:val="00AA1BF9"/>
    <w:rsid w:val="00AA1C69"/>
    <w:rsid w:val="00AA3DF8"/>
    <w:rsid w:val="00AB64C9"/>
    <w:rsid w:val="00AC1E9D"/>
    <w:rsid w:val="00AC3C6A"/>
    <w:rsid w:val="00AD5620"/>
    <w:rsid w:val="00AD656B"/>
    <w:rsid w:val="00AD7C1B"/>
    <w:rsid w:val="00AE16BA"/>
    <w:rsid w:val="00AE1BC8"/>
    <w:rsid w:val="00AE1EBE"/>
    <w:rsid w:val="00AE77C6"/>
    <w:rsid w:val="00AE7E31"/>
    <w:rsid w:val="00AF7FC3"/>
    <w:rsid w:val="00B03C5E"/>
    <w:rsid w:val="00B03C9D"/>
    <w:rsid w:val="00B060AE"/>
    <w:rsid w:val="00B10517"/>
    <w:rsid w:val="00B13841"/>
    <w:rsid w:val="00B14E76"/>
    <w:rsid w:val="00B161B8"/>
    <w:rsid w:val="00B2048C"/>
    <w:rsid w:val="00B20A3F"/>
    <w:rsid w:val="00B310B9"/>
    <w:rsid w:val="00B35F3F"/>
    <w:rsid w:val="00B36CBB"/>
    <w:rsid w:val="00B425E0"/>
    <w:rsid w:val="00B440AA"/>
    <w:rsid w:val="00B44B70"/>
    <w:rsid w:val="00B53C56"/>
    <w:rsid w:val="00B56654"/>
    <w:rsid w:val="00B57DAF"/>
    <w:rsid w:val="00B77EA6"/>
    <w:rsid w:val="00B81598"/>
    <w:rsid w:val="00B82B67"/>
    <w:rsid w:val="00B83823"/>
    <w:rsid w:val="00B841F1"/>
    <w:rsid w:val="00B866A1"/>
    <w:rsid w:val="00B92C1F"/>
    <w:rsid w:val="00B944D6"/>
    <w:rsid w:val="00BB4DF0"/>
    <w:rsid w:val="00BB62DA"/>
    <w:rsid w:val="00BB7C19"/>
    <w:rsid w:val="00BC289F"/>
    <w:rsid w:val="00BC2D50"/>
    <w:rsid w:val="00BC5361"/>
    <w:rsid w:val="00BC5460"/>
    <w:rsid w:val="00BC6B50"/>
    <w:rsid w:val="00BD05E8"/>
    <w:rsid w:val="00BD0E25"/>
    <w:rsid w:val="00BF2E7E"/>
    <w:rsid w:val="00BF3AEE"/>
    <w:rsid w:val="00BF5BD6"/>
    <w:rsid w:val="00C030E7"/>
    <w:rsid w:val="00C03E31"/>
    <w:rsid w:val="00C12139"/>
    <w:rsid w:val="00C14668"/>
    <w:rsid w:val="00C23F07"/>
    <w:rsid w:val="00C320EB"/>
    <w:rsid w:val="00C33E72"/>
    <w:rsid w:val="00C354B2"/>
    <w:rsid w:val="00C35554"/>
    <w:rsid w:val="00C40EB8"/>
    <w:rsid w:val="00C42709"/>
    <w:rsid w:val="00C52BF1"/>
    <w:rsid w:val="00C533CC"/>
    <w:rsid w:val="00C5751C"/>
    <w:rsid w:val="00C61BFC"/>
    <w:rsid w:val="00C62B85"/>
    <w:rsid w:val="00C64668"/>
    <w:rsid w:val="00C65438"/>
    <w:rsid w:val="00C827C7"/>
    <w:rsid w:val="00C87FD8"/>
    <w:rsid w:val="00C91381"/>
    <w:rsid w:val="00C91CBB"/>
    <w:rsid w:val="00CA595E"/>
    <w:rsid w:val="00CB0F31"/>
    <w:rsid w:val="00CB4E70"/>
    <w:rsid w:val="00CC09B6"/>
    <w:rsid w:val="00CC19DF"/>
    <w:rsid w:val="00CC666F"/>
    <w:rsid w:val="00CD1E3F"/>
    <w:rsid w:val="00CD61DB"/>
    <w:rsid w:val="00CE44F6"/>
    <w:rsid w:val="00CE49DA"/>
    <w:rsid w:val="00CE7B61"/>
    <w:rsid w:val="00D00095"/>
    <w:rsid w:val="00D114F0"/>
    <w:rsid w:val="00D13F25"/>
    <w:rsid w:val="00D20620"/>
    <w:rsid w:val="00D24633"/>
    <w:rsid w:val="00D254F7"/>
    <w:rsid w:val="00D26091"/>
    <w:rsid w:val="00D2685C"/>
    <w:rsid w:val="00D34E7C"/>
    <w:rsid w:val="00D35489"/>
    <w:rsid w:val="00D35B2E"/>
    <w:rsid w:val="00D36AFE"/>
    <w:rsid w:val="00D43910"/>
    <w:rsid w:val="00D45C71"/>
    <w:rsid w:val="00D5014A"/>
    <w:rsid w:val="00D51276"/>
    <w:rsid w:val="00D57A63"/>
    <w:rsid w:val="00D7035F"/>
    <w:rsid w:val="00D84D17"/>
    <w:rsid w:val="00D85E36"/>
    <w:rsid w:val="00DA007A"/>
    <w:rsid w:val="00DA41E1"/>
    <w:rsid w:val="00DA634F"/>
    <w:rsid w:val="00DA65AC"/>
    <w:rsid w:val="00DB07A0"/>
    <w:rsid w:val="00DB1913"/>
    <w:rsid w:val="00DC410D"/>
    <w:rsid w:val="00DC5A81"/>
    <w:rsid w:val="00DC68CA"/>
    <w:rsid w:val="00DC7CBA"/>
    <w:rsid w:val="00DD6CAD"/>
    <w:rsid w:val="00DD73B7"/>
    <w:rsid w:val="00DE0DB4"/>
    <w:rsid w:val="00DE41A7"/>
    <w:rsid w:val="00DF28BC"/>
    <w:rsid w:val="00DF34B9"/>
    <w:rsid w:val="00DF3850"/>
    <w:rsid w:val="00DF7D3F"/>
    <w:rsid w:val="00E01053"/>
    <w:rsid w:val="00E023A9"/>
    <w:rsid w:val="00E07ACF"/>
    <w:rsid w:val="00E249BD"/>
    <w:rsid w:val="00E331A1"/>
    <w:rsid w:val="00E33202"/>
    <w:rsid w:val="00E336A9"/>
    <w:rsid w:val="00E33839"/>
    <w:rsid w:val="00E472B1"/>
    <w:rsid w:val="00E50624"/>
    <w:rsid w:val="00E544D9"/>
    <w:rsid w:val="00E568DF"/>
    <w:rsid w:val="00E64269"/>
    <w:rsid w:val="00E82267"/>
    <w:rsid w:val="00E853CE"/>
    <w:rsid w:val="00E85E77"/>
    <w:rsid w:val="00E867B6"/>
    <w:rsid w:val="00E90BAD"/>
    <w:rsid w:val="00E90F3A"/>
    <w:rsid w:val="00E97390"/>
    <w:rsid w:val="00EA010F"/>
    <w:rsid w:val="00EA3BE5"/>
    <w:rsid w:val="00EB7765"/>
    <w:rsid w:val="00ED1B63"/>
    <w:rsid w:val="00ED3C1F"/>
    <w:rsid w:val="00ED3FC1"/>
    <w:rsid w:val="00ED4085"/>
    <w:rsid w:val="00ED420E"/>
    <w:rsid w:val="00ED6FBE"/>
    <w:rsid w:val="00EE1F6D"/>
    <w:rsid w:val="00EE2F57"/>
    <w:rsid w:val="00EE345B"/>
    <w:rsid w:val="00EF30D7"/>
    <w:rsid w:val="00EF4C34"/>
    <w:rsid w:val="00EF77C6"/>
    <w:rsid w:val="00F00A21"/>
    <w:rsid w:val="00F01D87"/>
    <w:rsid w:val="00F05438"/>
    <w:rsid w:val="00F1361C"/>
    <w:rsid w:val="00F156F0"/>
    <w:rsid w:val="00F160C7"/>
    <w:rsid w:val="00F167BA"/>
    <w:rsid w:val="00F217F5"/>
    <w:rsid w:val="00F2408F"/>
    <w:rsid w:val="00F240E9"/>
    <w:rsid w:val="00F302F0"/>
    <w:rsid w:val="00F33ECF"/>
    <w:rsid w:val="00F36D8F"/>
    <w:rsid w:val="00F417B1"/>
    <w:rsid w:val="00F45853"/>
    <w:rsid w:val="00F50186"/>
    <w:rsid w:val="00F5209A"/>
    <w:rsid w:val="00F54BF7"/>
    <w:rsid w:val="00F5607A"/>
    <w:rsid w:val="00F602DF"/>
    <w:rsid w:val="00F73499"/>
    <w:rsid w:val="00F754A1"/>
    <w:rsid w:val="00F81C70"/>
    <w:rsid w:val="00F81FD9"/>
    <w:rsid w:val="00F841AA"/>
    <w:rsid w:val="00F84626"/>
    <w:rsid w:val="00F84A94"/>
    <w:rsid w:val="00F87E96"/>
    <w:rsid w:val="00F90741"/>
    <w:rsid w:val="00FA23E8"/>
    <w:rsid w:val="00FD3CC1"/>
    <w:rsid w:val="00FF0D38"/>
    <w:rsid w:val="00FF1E02"/>
    <w:rsid w:val="00FF30B4"/>
    <w:rsid w:val="00FF7A08"/>
    <w:rsid w:val="00FF7DD0"/>
    <w:rsid w:val="01091385"/>
    <w:rsid w:val="010E1D46"/>
    <w:rsid w:val="01280E5B"/>
    <w:rsid w:val="014C3A8B"/>
    <w:rsid w:val="014D4561"/>
    <w:rsid w:val="01891BC3"/>
    <w:rsid w:val="01D40338"/>
    <w:rsid w:val="01E430CE"/>
    <w:rsid w:val="01E91C00"/>
    <w:rsid w:val="020C3805"/>
    <w:rsid w:val="023B6E5A"/>
    <w:rsid w:val="02574EAA"/>
    <w:rsid w:val="02AF34D4"/>
    <w:rsid w:val="02C51BE6"/>
    <w:rsid w:val="02CD0F31"/>
    <w:rsid w:val="02F24E6B"/>
    <w:rsid w:val="03765584"/>
    <w:rsid w:val="038A5943"/>
    <w:rsid w:val="042B0B28"/>
    <w:rsid w:val="0434361A"/>
    <w:rsid w:val="044E49E8"/>
    <w:rsid w:val="046B00F5"/>
    <w:rsid w:val="049F09DD"/>
    <w:rsid w:val="04EF009D"/>
    <w:rsid w:val="04FB3A45"/>
    <w:rsid w:val="059A3940"/>
    <w:rsid w:val="05C50B9F"/>
    <w:rsid w:val="05D63CB0"/>
    <w:rsid w:val="060C4EA2"/>
    <w:rsid w:val="060D46C8"/>
    <w:rsid w:val="0626678A"/>
    <w:rsid w:val="062F43B2"/>
    <w:rsid w:val="064245D0"/>
    <w:rsid w:val="065C26EB"/>
    <w:rsid w:val="065D1230"/>
    <w:rsid w:val="06756C09"/>
    <w:rsid w:val="068001DB"/>
    <w:rsid w:val="068F0912"/>
    <w:rsid w:val="06935FEE"/>
    <w:rsid w:val="06B428E2"/>
    <w:rsid w:val="06D40E51"/>
    <w:rsid w:val="070F1893"/>
    <w:rsid w:val="07924D4B"/>
    <w:rsid w:val="08002BCB"/>
    <w:rsid w:val="08016590"/>
    <w:rsid w:val="08063F77"/>
    <w:rsid w:val="08294781"/>
    <w:rsid w:val="083843C7"/>
    <w:rsid w:val="085372EF"/>
    <w:rsid w:val="085D7190"/>
    <w:rsid w:val="08830747"/>
    <w:rsid w:val="08BA794E"/>
    <w:rsid w:val="08D569DF"/>
    <w:rsid w:val="094E57B5"/>
    <w:rsid w:val="096C2F1A"/>
    <w:rsid w:val="0977607E"/>
    <w:rsid w:val="09901286"/>
    <w:rsid w:val="099E5A1F"/>
    <w:rsid w:val="09DE1094"/>
    <w:rsid w:val="0A2032A3"/>
    <w:rsid w:val="0A233938"/>
    <w:rsid w:val="0ABC27AD"/>
    <w:rsid w:val="0BAD0C19"/>
    <w:rsid w:val="0BB54972"/>
    <w:rsid w:val="0BE0738C"/>
    <w:rsid w:val="0C177F29"/>
    <w:rsid w:val="0C407B5E"/>
    <w:rsid w:val="0CD037DA"/>
    <w:rsid w:val="0CE5497D"/>
    <w:rsid w:val="0D1012A1"/>
    <w:rsid w:val="0D7038DF"/>
    <w:rsid w:val="0D806CE6"/>
    <w:rsid w:val="0E0C08F3"/>
    <w:rsid w:val="0E2B6800"/>
    <w:rsid w:val="0E8B4FCD"/>
    <w:rsid w:val="0E8F6107"/>
    <w:rsid w:val="0E9A48BC"/>
    <w:rsid w:val="0EC01064"/>
    <w:rsid w:val="0F5D1551"/>
    <w:rsid w:val="0F7871EA"/>
    <w:rsid w:val="0FD12EF5"/>
    <w:rsid w:val="100F7103"/>
    <w:rsid w:val="10216551"/>
    <w:rsid w:val="102D734C"/>
    <w:rsid w:val="103E2C07"/>
    <w:rsid w:val="10414A64"/>
    <w:rsid w:val="106F165D"/>
    <w:rsid w:val="10C055FF"/>
    <w:rsid w:val="10F66D5E"/>
    <w:rsid w:val="11057C02"/>
    <w:rsid w:val="116F5435"/>
    <w:rsid w:val="117341CC"/>
    <w:rsid w:val="118107EC"/>
    <w:rsid w:val="11823EE1"/>
    <w:rsid w:val="11C208A6"/>
    <w:rsid w:val="11E543F1"/>
    <w:rsid w:val="12FE51BE"/>
    <w:rsid w:val="13583225"/>
    <w:rsid w:val="137C03DD"/>
    <w:rsid w:val="137E14CA"/>
    <w:rsid w:val="13EA2F88"/>
    <w:rsid w:val="13FD18F7"/>
    <w:rsid w:val="14D61117"/>
    <w:rsid w:val="14E270A8"/>
    <w:rsid w:val="15092D9C"/>
    <w:rsid w:val="15364FAF"/>
    <w:rsid w:val="156D79FD"/>
    <w:rsid w:val="15865956"/>
    <w:rsid w:val="162F5C57"/>
    <w:rsid w:val="164469EA"/>
    <w:rsid w:val="164B369D"/>
    <w:rsid w:val="164D0FCD"/>
    <w:rsid w:val="16530998"/>
    <w:rsid w:val="16A904F9"/>
    <w:rsid w:val="16BB723D"/>
    <w:rsid w:val="16FD5D81"/>
    <w:rsid w:val="17257D08"/>
    <w:rsid w:val="172C7495"/>
    <w:rsid w:val="173D1A6F"/>
    <w:rsid w:val="176D1908"/>
    <w:rsid w:val="17B529EB"/>
    <w:rsid w:val="17DC673B"/>
    <w:rsid w:val="18015F3F"/>
    <w:rsid w:val="18264101"/>
    <w:rsid w:val="188E0BB3"/>
    <w:rsid w:val="1899782C"/>
    <w:rsid w:val="18AA2439"/>
    <w:rsid w:val="19411A4C"/>
    <w:rsid w:val="19437A4F"/>
    <w:rsid w:val="19842867"/>
    <w:rsid w:val="1987121A"/>
    <w:rsid w:val="19892C18"/>
    <w:rsid w:val="19C42681"/>
    <w:rsid w:val="19C87F3A"/>
    <w:rsid w:val="19D50BB8"/>
    <w:rsid w:val="19ED521A"/>
    <w:rsid w:val="19F771D6"/>
    <w:rsid w:val="1A3C6AA8"/>
    <w:rsid w:val="1A705FF3"/>
    <w:rsid w:val="1A734C25"/>
    <w:rsid w:val="1B602D1E"/>
    <w:rsid w:val="1BB81A25"/>
    <w:rsid w:val="1BC64A34"/>
    <w:rsid w:val="1BE631FB"/>
    <w:rsid w:val="1BE8440E"/>
    <w:rsid w:val="1BEF4E31"/>
    <w:rsid w:val="1BF117D7"/>
    <w:rsid w:val="1C0A52A1"/>
    <w:rsid w:val="1C127072"/>
    <w:rsid w:val="1C184D08"/>
    <w:rsid w:val="1C18542D"/>
    <w:rsid w:val="1D155CEE"/>
    <w:rsid w:val="1D2C3B33"/>
    <w:rsid w:val="1D4276FB"/>
    <w:rsid w:val="1D9303A4"/>
    <w:rsid w:val="1DA019F0"/>
    <w:rsid w:val="1DE41A9A"/>
    <w:rsid w:val="1E3B4A48"/>
    <w:rsid w:val="1E3C06D6"/>
    <w:rsid w:val="1ED048A8"/>
    <w:rsid w:val="1F3D3056"/>
    <w:rsid w:val="1F800719"/>
    <w:rsid w:val="1F866164"/>
    <w:rsid w:val="1F8D42DB"/>
    <w:rsid w:val="1FB815AA"/>
    <w:rsid w:val="1FC135A1"/>
    <w:rsid w:val="1FC62137"/>
    <w:rsid w:val="1FDD2A70"/>
    <w:rsid w:val="1FE5342E"/>
    <w:rsid w:val="1FF03F78"/>
    <w:rsid w:val="201A7ED8"/>
    <w:rsid w:val="204E6240"/>
    <w:rsid w:val="20A664F1"/>
    <w:rsid w:val="20B907E5"/>
    <w:rsid w:val="20F35E8E"/>
    <w:rsid w:val="20F57F95"/>
    <w:rsid w:val="219D2391"/>
    <w:rsid w:val="21AA1C6F"/>
    <w:rsid w:val="220549B7"/>
    <w:rsid w:val="22C83E90"/>
    <w:rsid w:val="22CA5E26"/>
    <w:rsid w:val="23113827"/>
    <w:rsid w:val="233001FE"/>
    <w:rsid w:val="235D2A24"/>
    <w:rsid w:val="23B859AD"/>
    <w:rsid w:val="24020B53"/>
    <w:rsid w:val="240371BF"/>
    <w:rsid w:val="242336B1"/>
    <w:rsid w:val="24542F98"/>
    <w:rsid w:val="24607027"/>
    <w:rsid w:val="2482439A"/>
    <w:rsid w:val="24B54C38"/>
    <w:rsid w:val="24D53E72"/>
    <w:rsid w:val="25206B32"/>
    <w:rsid w:val="252C38F8"/>
    <w:rsid w:val="256879C9"/>
    <w:rsid w:val="25BB7F79"/>
    <w:rsid w:val="25C104F9"/>
    <w:rsid w:val="25DC4EE2"/>
    <w:rsid w:val="25EA37C2"/>
    <w:rsid w:val="25EC619C"/>
    <w:rsid w:val="27077BE6"/>
    <w:rsid w:val="27372B0F"/>
    <w:rsid w:val="2738594D"/>
    <w:rsid w:val="278025B0"/>
    <w:rsid w:val="27842671"/>
    <w:rsid w:val="278429F3"/>
    <w:rsid w:val="279E3E4E"/>
    <w:rsid w:val="27B84667"/>
    <w:rsid w:val="27E34E31"/>
    <w:rsid w:val="283745C5"/>
    <w:rsid w:val="283D11FE"/>
    <w:rsid w:val="283D29E4"/>
    <w:rsid w:val="286B5AE8"/>
    <w:rsid w:val="28DD2917"/>
    <w:rsid w:val="291927AB"/>
    <w:rsid w:val="29980D61"/>
    <w:rsid w:val="29A552E6"/>
    <w:rsid w:val="29E07B97"/>
    <w:rsid w:val="29FD04D3"/>
    <w:rsid w:val="2A0254A5"/>
    <w:rsid w:val="2A0E7E28"/>
    <w:rsid w:val="2A285398"/>
    <w:rsid w:val="2A521E66"/>
    <w:rsid w:val="2A7C21CE"/>
    <w:rsid w:val="2A967D01"/>
    <w:rsid w:val="2AAF02E3"/>
    <w:rsid w:val="2ABE7A3E"/>
    <w:rsid w:val="2AC4777C"/>
    <w:rsid w:val="2AE21374"/>
    <w:rsid w:val="2AF909E1"/>
    <w:rsid w:val="2B09130B"/>
    <w:rsid w:val="2B1C2CAA"/>
    <w:rsid w:val="2B703275"/>
    <w:rsid w:val="2BD77C01"/>
    <w:rsid w:val="2BF14720"/>
    <w:rsid w:val="2C3D2A0A"/>
    <w:rsid w:val="2CD21D3E"/>
    <w:rsid w:val="2CD772C6"/>
    <w:rsid w:val="2CDF1A3C"/>
    <w:rsid w:val="2CF63755"/>
    <w:rsid w:val="2D097943"/>
    <w:rsid w:val="2D162164"/>
    <w:rsid w:val="2D5522DD"/>
    <w:rsid w:val="2DDF466F"/>
    <w:rsid w:val="2E8F72AC"/>
    <w:rsid w:val="2EDB760A"/>
    <w:rsid w:val="2F620536"/>
    <w:rsid w:val="2F6D0BD8"/>
    <w:rsid w:val="2F8C744F"/>
    <w:rsid w:val="2FDC23DA"/>
    <w:rsid w:val="30031A82"/>
    <w:rsid w:val="30224AD1"/>
    <w:rsid w:val="30A41B2F"/>
    <w:rsid w:val="30D67F85"/>
    <w:rsid w:val="30E23E54"/>
    <w:rsid w:val="31754F9B"/>
    <w:rsid w:val="319F13BE"/>
    <w:rsid w:val="319F7F4E"/>
    <w:rsid w:val="31B51368"/>
    <w:rsid w:val="321E5A8E"/>
    <w:rsid w:val="328B1570"/>
    <w:rsid w:val="32B52FCC"/>
    <w:rsid w:val="32CF2E78"/>
    <w:rsid w:val="332240C6"/>
    <w:rsid w:val="334839CE"/>
    <w:rsid w:val="336A7DE0"/>
    <w:rsid w:val="33A94190"/>
    <w:rsid w:val="33C86ABF"/>
    <w:rsid w:val="33CE4379"/>
    <w:rsid w:val="33F12C4F"/>
    <w:rsid w:val="34413087"/>
    <w:rsid w:val="346B6750"/>
    <w:rsid w:val="35401E71"/>
    <w:rsid w:val="355C034E"/>
    <w:rsid w:val="35805F76"/>
    <w:rsid w:val="359D0D00"/>
    <w:rsid w:val="35E0146C"/>
    <w:rsid w:val="35E215AB"/>
    <w:rsid w:val="35E7620B"/>
    <w:rsid w:val="362417BD"/>
    <w:rsid w:val="367335C1"/>
    <w:rsid w:val="36B169CB"/>
    <w:rsid w:val="36E1775A"/>
    <w:rsid w:val="36F75A44"/>
    <w:rsid w:val="36F9176C"/>
    <w:rsid w:val="37C35BC9"/>
    <w:rsid w:val="381D53BC"/>
    <w:rsid w:val="39252EBD"/>
    <w:rsid w:val="3927653A"/>
    <w:rsid w:val="39285892"/>
    <w:rsid w:val="3929050B"/>
    <w:rsid w:val="394828B1"/>
    <w:rsid w:val="396F28B4"/>
    <w:rsid w:val="39755BC7"/>
    <w:rsid w:val="399B59DF"/>
    <w:rsid w:val="3A343917"/>
    <w:rsid w:val="3A7B5946"/>
    <w:rsid w:val="3AC72C1F"/>
    <w:rsid w:val="3AF04D95"/>
    <w:rsid w:val="3B0F5FE1"/>
    <w:rsid w:val="3B115E0A"/>
    <w:rsid w:val="3B1A6999"/>
    <w:rsid w:val="3B7E0624"/>
    <w:rsid w:val="3B8B3B90"/>
    <w:rsid w:val="3BA64DF5"/>
    <w:rsid w:val="3BDB1F6D"/>
    <w:rsid w:val="3C0C0783"/>
    <w:rsid w:val="3C3651A0"/>
    <w:rsid w:val="3C4C2B4E"/>
    <w:rsid w:val="3C847397"/>
    <w:rsid w:val="3C852891"/>
    <w:rsid w:val="3C9D3FF2"/>
    <w:rsid w:val="3CA41D5E"/>
    <w:rsid w:val="3CF83300"/>
    <w:rsid w:val="3D3D7A5B"/>
    <w:rsid w:val="3DDB5C77"/>
    <w:rsid w:val="3DDE3E22"/>
    <w:rsid w:val="3DF34018"/>
    <w:rsid w:val="3DFC46FB"/>
    <w:rsid w:val="3E046531"/>
    <w:rsid w:val="3E3337CC"/>
    <w:rsid w:val="3E531D20"/>
    <w:rsid w:val="3E5D4B91"/>
    <w:rsid w:val="3E813560"/>
    <w:rsid w:val="3E8C75B1"/>
    <w:rsid w:val="3E9000D9"/>
    <w:rsid w:val="3EB27122"/>
    <w:rsid w:val="3F095ED1"/>
    <w:rsid w:val="3F1276FE"/>
    <w:rsid w:val="3F2A44DF"/>
    <w:rsid w:val="3F310D6E"/>
    <w:rsid w:val="3F757F8A"/>
    <w:rsid w:val="3F8224A3"/>
    <w:rsid w:val="3F8B0C0F"/>
    <w:rsid w:val="3FAD563A"/>
    <w:rsid w:val="3FDC2527"/>
    <w:rsid w:val="40050B29"/>
    <w:rsid w:val="403B03FC"/>
    <w:rsid w:val="407C7BD9"/>
    <w:rsid w:val="409859CD"/>
    <w:rsid w:val="40E17906"/>
    <w:rsid w:val="40F93028"/>
    <w:rsid w:val="416713B2"/>
    <w:rsid w:val="41970FEF"/>
    <w:rsid w:val="41B3008B"/>
    <w:rsid w:val="41F93782"/>
    <w:rsid w:val="421B62A9"/>
    <w:rsid w:val="424338AA"/>
    <w:rsid w:val="429C1C47"/>
    <w:rsid w:val="42D263C0"/>
    <w:rsid w:val="42D31DC6"/>
    <w:rsid w:val="42DD25B8"/>
    <w:rsid w:val="42E74660"/>
    <w:rsid w:val="431B4380"/>
    <w:rsid w:val="43734411"/>
    <w:rsid w:val="43F877C9"/>
    <w:rsid w:val="44026589"/>
    <w:rsid w:val="44E6635B"/>
    <w:rsid w:val="453E48E4"/>
    <w:rsid w:val="4596366C"/>
    <w:rsid w:val="459C0199"/>
    <w:rsid w:val="45A900CE"/>
    <w:rsid w:val="45F761BE"/>
    <w:rsid w:val="46085843"/>
    <w:rsid w:val="461F604A"/>
    <w:rsid w:val="462113E3"/>
    <w:rsid w:val="46ED64FC"/>
    <w:rsid w:val="46F62F02"/>
    <w:rsid w:val="47074AA8"/>
    <w:rsid w:val="471B06F6"/>
    <w:rsid w:val="4724221D"/>
    <w:rsid w:val="472800C1"/>
    <w:rsid w:val="47310DC7"/>
    <w:rsid w:val="47A553E8"/>
    <w:rsid w:val="47C94468"/>
    <w:rsid w:val="4807719B"/>
    <w:rsid w:val="485F1C0A"/>
    <w:rsid w:val="48676D7B"/>
    <w:rsid w:val="489F657F"/>
    <w:rsid w:val="48A21213"/>
    <w:rsid w:val="49210CC8"/>
    <w:rsid w:val="493074A2"/>
    <w:rsid w:val="493C27E9"/>
    <w:rsid w:val="495A4978"/>
    <w:rsid w:val="495A6F4D"/>
    <w:rsid w:val="496F39ED"/>
    <w:rsid w:val="49BE76B2"/>
    <w:rsid w:val="49BF74EA"/>
    <w:rsid w:val="49C672E9"/>
    <w:rsid w:val="49FF41D3"/>
    <w:rsid w:val="4A7863CE"/>
    <w:rsid w:val="4A850C4C"/>
    <w:rsid w:val="4A891B66"/>
    <w:rsid w:val="4B0B06F0"/>
    <w:rsid w:val="4B666FE8"/>
    <w:rsid w:val="4B916F75"/>
    <w:rsid w:val="4BE068DB"/>
    <w:rsid w:val="4BF6002B"/>
    <w:rsid w:val="4BFF1FDA"/>
    <w:rsid w:val="4C154272"/>
    <w:rsid w:val="4C1D116C"/>
    <w:rsid w:val="4C380EFF"/>
    <w:rsid w:val="4C45145A"/>
    <w:rsid w:val="4C521CBB"/>
    <w:rsid w:val="4C572821"/>
    <w:rsid w:val="4C5B7F94"/>
    <w:rsid w:val="4C97140F"/>
    <w:rsid w:val="4CB553E3"/>
    <w:rsid w:val="4CED076E"/>
    <w:rsid w:val="4D3D0CB5"/>
    <w:rsid w:val="4D3E0F9A"/>
    <w:rsid w:val="4D64576B"/>
    <w:rsid w:val="4D8243C7"/>
    <w:rsid w:val="4DA804CB"/>
    <w:rsid w:val="4E0A0A8B"/>
    <w:rsid w:val="4E3A3D56"/>
    <w:rsid w:val="4E88004D"/>
    <w:rsid w:val="4ECE2238"/>
    <w:rsid w:val="4F0408E3"/>
    <w:rsid w:val="4F281E6B"/>
    <w:rsid w:val="4F3D570E"/>
    <w:rsid w:val="4F7E6E24"/>
    <w:rsid w:val="4F8745B3"/>
    <w:rsid w:val="50A01768"/>
    <w:rsid w:val="50C32BC5"/>
    <w:rsid w:val="50EA6404"/>
    <w:rsid w:val="5138012D"/>
    <w:rsid w:val="517D3D28"/>
    <w:rsid w:val="52795294"/>
    <w:rsid w:val="5296322D"/>
    <w:rsid w:val="52C45541"/>
    <w:rsid w:val="52D61862"/>
    <w:rsid w:val="53814C4A"/>
    <w:rsid w:val="53F4569A"/>
    <w:rsid w:val="54062A13"/>
    <w:rsid w:val="54405F54"/>
    <w:rsid w:val="54891584"/>
    <w:rsid w:val="551F2792"/>
    <w:rsid w:val="55583F8F"/>
    <w:rsid w:val="562B2A22"/>
    <w:rsid w:val="56E66275"/>
    <w:rsid w:val="56EF2C77"/>
    <w:rsid w:val="57323A13"/>
    <w:rsid w:val="5750381E"/>
    <w:rsid w:val="57537CDB"/>
    <w:rsid w:val="57562F44"/>
    <w:rsid w:val="57826737"/>
    <w:rsid w:val="57931035"/>
    <w:rsid w:val="579473DF"/>
    <w:rsid w:val="57A021EE"/>
    <w:rsid w:val="57F91082"/>
    <w:rsid w:val="57FC4887"/>
    <w:rsid w:val="580E7DA8"/>
    <w:rsid w:val="58AF5350"/>
    <w:rsid w:val="58DD5FD4"/>
    <w:rsid w:val="59B4458F"/>
    <w:rsid w:val="59DD2E35"/>
    <w:rsid w:val="5A102393"/>
    <w:rsid w:val="5A3143BA"/>
    <w:rsid w:val="5A4B31FD"/>
    <w:rsid w:val="5A7360A4"/>
    <w:rsid w:val="5B330CF5"/>
    <w:rsid w:val="5B846E74"/>
    <w:rsid w:val="5B865E6B"/>
    <w:rsid w:val="5BCA35C4"/>
    <w:rsid w:val="5C4516E8"/>
    <w:rsid w:val="5C4D4E7C"/>
    <w:rsid w:val="5C995956"/>
    <w:rsid w:val="5CC823AB"/>
    <w:rsid w:val="5CEA5CB2"/>
    <w:rsid w:val="5D09262B"/>
    <w:rsid w:val="5D380045"/>
    <w:rsid w:val="5D6F4523"/>
    <w:rsid w:val="5D717B38"/>
    <w:rsid w:val="5DB6320A"/>
    <w:rsid w:val="5DE669E6"/>
    <w:rsid w:val="5E035525"/>
    <w:rsid w:val="5E2A24A1"/>
    <w:rsid w:val="5E335B93"/>
    <w:rsid w:val="5F6D3B87"/>
    <w:rsid w:val="5F951E24"/>
    <w:rsid w:val="5FAC5F1B"/>
    <w:rsid w:val="5FCF7353"/>
    <w:rsid w:val="5FF771D1"/>
    <w:rsid w:val="60F876E1"/>
    <w:rsid w:val="61BB6D6F"/>
    <w:rsid w:val="61E74800"/>
    <w:rsid w:val="61FF3EB4"/>
    <w:rsid w:val="62167467"/>
    <w:rsid w:val="625873FD"/>
    <w:rsid w:val="62734705"/>
    <w:rsid w:val="628C565B"/>
    <w:rsid w:val="6354441A"/>
    <w:rsid w:val="63A84D09"/>
    <w:rsid w:val="64092204"/>
    <w:rsid w:val="645478E4"/>
    <w:rsid w:val="64835606"/>
    <w:rsid w:val="64A006DF"/>
    <w:rsid w:val="64CA39A1"/>
    <w:rsid w:val="64EE30CD"/>
    <w:rsid w:val="64F7584F"/>
    <w:rsid w:val="652735A3"/>
    <w:rsid w:val="65274879"/>
    <w:rsid w:val="657E6EB7"/>
    <w:rsid w:val="6581785D"/>
    <w:rsid w:val="658613C0"/>
    <w:rsid w:val="65B10D79"/>
    <w:rsid w:val="65F53BD7"/>
    <w:rsid w:val="660C381E"/>
    <w:rsid w:val="6627552D"/>
    <w:rsid w:val="66407E1F"/>
    <w:rsid w:val="6648148D"/>
    <w:rsid w:val="665F7F94"/>
    <w:rsid w:val="6663678E"/>
    <w:rsid w:val="66822BEC"/>
    <w:rsid w:val="668D797B"/>
    <w:rsid w:val="66CC0AE4"/>
    <w:rsid w:val="66CE394A"/>
    <w:rsid w:val="66E17E19"/>
    <w:rsid w:val="66F55ED8"/>
    <w:rsid w:val="671B1835"/>
    <w:rsid w:val="675446A2"/>
    <w:rsid w:val="676352C6"/>
    <w:rsid w:val="67EB6379"/>
    <w:rsid w:val="683B2666"/>
    <w:rsid w:val="683F703E"/>
    <w:rsid w:val="68750085"/>
    <w:rsid w:val="68B17B4F"/>
    <w:rsid w:val="68B23D02"/>
    <w:rsid w:val="68DD0801"/>
    <w:rsid w:val="69104309"/>
    <w:rsid w:val="692E560B"/>
    <w:rsid w:val="69370010"/>
    <w:rsid w:val="69726E84"/>
    <w:rsid w:val="69ED0CF4"/>
    <w:rsid w:val="6A110F35"/>
    <w:rsid w:val="6A7D71E8"/>
    <w:rsid w:val="6B3B1ECF"/>
    <w:rsid w:val="6B93103A"/>
    <w:rsid w:val="6BA333BB"/>
    <w:rsid w:val="6BC23934"/>
    <w:rsid w:val="6C2A00DB"/>
    <w:rsid w:val="6C4A05C8"/>
    <w:rsid w:val="6C5642C4"/>
    <w:rsid w:val="6CF10D59"/>
    <w:rsid w:val="6D196208"/>
    <w:rsid w:val="6D670F7A"/>
    <w:rsid w:val="6D6B5F6E"/>
    <w:rsid w:val="6D993774"/>
    <w:rsid w:val="6DC3338E"/>
    <w:rsid w:val="6DEC38AF"/>
    <w:rsid w:val="6DEF40F4"/>
    <w:rsid w:val="6E1B62FE"/>
    <w:rsid w:val="6EB40B17"/>
    <w:rsid w:val="6EB97B0C"/>
    <w:rsid w:val="6EFE5F21"/>
    <w:rsid w:val="6F002149"/>
    <w:rsid w:val="6F6E041C"/>
    <w:rsid w:val="6F7C25DD"/>
    <w:rsid w:val="6F7C5BAC"/>
    <w:rsid w:val="6FA10F9D"/>
    <w:rsid w:val="6FD31447"/>
    <w:rsid w:val="70174D5F"/>
    <w:rsid w:val="701E7385"/>
    <w:rsid w:val="70486108"/>
    <w:rsid w:val="70546035"/>
    <w:rsid w:val="70670589"/>
    <w:rsid w:val="7088548A"/>
    <w:rsid w:val="70C3542B"/>
    <w:rsid w:val="71554035"/>
    <w:rsid w:val="71644756"/>
    <w:rsid w:val="716719F9"/>
    <w:rsid w:val="71675A5A"/>
    <w:rsid w:val="71C57A27"/>
    <w:rsid w:val="7268104E"/>
    <w:rsid w:val="726D5814"/>
    <w:rsid w:val="72734D90"/>
    <w:rsid w:val="72CC7D87"/>
    <w:rsid w:val="72E9753C"/>
    <w:rsid w:val="72FF2D3D"/>
    <w:rsid w:val="73295B04"/>
    <w:rsid w:val="732B1894"/>
    <w:rsid w:val="735A0B04"/>
    <w:rsid w:val="73666B70"/>
    <w:rsid w:val="73DD4424"/>
    <w:rsid w:val="74354E78"/>
    <w:rsid w:val="74744614"/>
    <w:rsid w:val="749A05DC"/>
    <w:rsid w:val="7532550B"/>
    <w:rsid w:val="756C11C2"/>
    <w:rsid w:val="759463A9"/>
    <w:rsid w:val="75AF75E7"/>
    <w:rsid w:val="76852427"/>
    <w:rsid w:val="7688240F"/>
    <w:rsid w:val="76DA37A9"/>
    <w:rsid w:val="772B3763"/>
    <w:rsid w:val="774A08B6"/>
    <w:rsid w:val="77786305"/>
    <w:rsid w:val="777E7776"/>
    <w:rsid w:val="778251C5"/>
    <w:rsid w:val="779D6E18"/>
    <w:rsid w:val="780064FD"/>
    <w:rsid w:val="785F692A"/>
    <w:rsid w:val="787F6B55"/>
    <w:rsid w:val="7902780E"/>
    <w:rsid w:val="793467AF"/>
    <w:rsid w:val="7965235B"/>
    <w:rsid w:val="79EF1AF0"/>
    <w:rsid w:val="7A1C043D"/>
    <w:rsid w:val="7A4065D0"/>
    <w:rsid w:val="7A636770"/>
    <w:rsid w:val="7A8C1959"/>
    <w:rsid w:val="7A9D28D8"/>
    <w:rsid w:val="7ABD7039"/>
    <w:rsid w:val="7AC10694"/>
    <w:rsid w:val="7AF565E2"/>
    <w:rsid w:val="7B045A02"/>
    <w:rsid w:val="7B2D7BE8"/>
    <w:rsid w:val="7B7C0C2E"/>
    <w:rsid w:val="7BC10B80"/>
    <w:rsid w:val="7BFF5B60"/>
    <w:rsid w:val="7C0606FA"/>
    <w:rsid w:val="7C076055"/>
    <w:rsid w:val="7C08604D"/>
    <w:rsid w:val="7C0B7F81"/>
    <w:rsid w:val="7C5A2502"/>
    <w:rsid w:val="7C950A0A"/>
    <w:rsid w:val="7CAE51A0"/>
    <w:rsid w:val="7D607704"/>
    <w:rsid w:val="7E05347E"/>
    <w:rsid w:val="7E4B751C"/>
    <w:rsid w:val="7E9B3F01"/>
    <w:rsid w:val="7EAB2FCF"/>
    <w:rsid w:val="7EBF5B4F"/>
    <w:rsid w:val="7EC16675"/>
    <w:rsid w:val="7F1E76E3"/>
    <w:rsid w:val="7F566C90"/>
    <w:rsid w:val="7F5B78FD"/>
    <w:rsid w:val="7F793A64"/>
    <w:rsid w:val="7F7B5CD2"/>
    <w:rsid w:val="7F982B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462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8462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8462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8462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84626"/>
    <w:pPr>
      <w:spacing w:beforeLines="30"/>
    </w:pPr>
    <w:rPr>
      <w:rFonts w:ascii="仿宋_GB2312" w:eastAsia="仿宋_GB2312"/>
      <w:kern w:val="0"/>
      <w:sz w:val="30"/>
    </w:rPr>
  </w:style>
  <w:style w:type="paragraph" w:styleId="30">
    <w:name w:val="toc 3"/>
    <w:basedOn w:val="a"/>
    <w:next w:val="a"/>
    <w:uiPriority w:val="39"/>
    <w:unhideWhenUsed/>
    <w:qFormat/>
    <w:rsid w:val="00F84626"/>
    <w:pPr>
      <w:tabs>
        <w:tab w:val="right" w:leader="dot" w:pos="8296"/>
      </w:tabs>
      <w:ind w:leftChars="400" w:left="840"/>
    </w:pPr>
  </w:style>
  <w:style w:type="paragraph" w:styleId="a4">
    <w:name w:val="Balloon Text"/>
    <w:basedOn w:val="a"/>
    <w:link w:val="Char0"/>
    <w:uiPriority w:val="99"/>
    <w:semiHidden/>
    <w:unhideWhenUsed/>
    <w:qFormat/>
    <w:rsid w:val="00F84626"/>
    <w:rPr>
      <w:sz w:val="18"/>
      <w:szCs w:val="18"/>
    </w:rPr>
  </w:style>
  <w:style w:type="paragraph" w:styleId="a5">
    <w:name w:val="footer"/>
    <w:basedOn w:val="a"/>
    <w:link w:val="Char1"/>
    <w:uiPriority w:val="99"/>
    <w:qFormat/>
    <w:rsid w:val="00F84626"/>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84626"/>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84626"/>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84626"/>
    <w:pPr>
      <w:tabs>
        <w:tab w:val="right" w:leader="dot" w:pos="8296"/>
      </w:tabs>
      <w:ind w:leftChars="200" w:left="420"/>
    </w:pPr>
  </w:style>
  <w:style w:type="paragraph" w:styleId="a7">
    <w:name w:val="Normal (Web)"/>
    <w:basedOn w:val="a"/>
    <w:qFormat/>
    <w:rsid w:val="00F84626"/>
    <w:pPr>
      <w:spacing w:beforeAutospacing="1" w:afterAutospacing="1"/>
      <w:jc w:val="left"/>
    </w:pPr>
    <w:rPr>
      <w:kern w:val="0"/>
      <w:sz w:val="24"/>
    </w:rPr>
  </w:style>
  <w:style w:type="character" w:styleId="a8">
    <w:name w:val="Strong"/>
    <w:basedOn w:val="a1"/>
    <w:uiPriority w:val="99"/>
    <w:qFormat/>
    <w:rsid w:val="00F84626"/>
    <w:rPr>
      <w:b/>
    </w:rPr>
  </w:style>
  <w:style w:type="character" w:styleId="a9">
    <w:name w:val="Hyperlink"/>
    <w:basedOn w:val="a1"/>
    <w:uiPriority w:val="99"/>
    <w:unhideWhenUsed/>
    <w:qFormat/>
    <w:rsid w:val="00F84626"/>
    <w:rPr>
      <w:color w:val="0000FF" w:themeColor="hyperlink"/>
      <w:u w:val="single"/>
    </w:rPr>
  </w:style>
  <w:style w:type="character" w:customStyle="1" w:styleId="HeaderChar">
    <w:name w:val="Header Char"/>
    <w:basedOn w:val="a1"/>
    <w:uiPriority w:val="99"/>
    <w:semiHidden/>
    <w:qFormat/>
    <w:rsid w:val="00F84626"/>
    <w:rPr>
      <w:rFonts w:ascii="Times New Roman" w:hAnsi="Times New Roman"/>
      <w:sz w:val="18"/>
      <w:szCs w:val="18"/>
    </w:rPr>
  </w:style>
  <w:style w:type="character" w:customStyle="1" w:styleId="Char2">
    <w:name w:val="页眉 Char"/>
    <w:link w:val="a6"/>
    <w:uiPriority w:val="99"/>
    <w:semiHidden/>
    <w:qFormat/>
    <w:locked/>
    <w:rsid w:val="00F84626"/>
    <w:rPr>
      <w:sz w:val="18"/>
    </w:rPr>
  </w:style>
  <w:style w:type="character" w:customStyle="1" w:styleId="FooterChar">
    <w:name w:val="Footer Char"/>
    <w:basedOn w:val="a1"/>
    <w:uiPriority w:val="99"/>
    <w:semiHidden/>
    <w:qFormat/>
    <w:rsid w:val="00F84626"/>
    <w:rPr>
      <w:rFonts w:ascii="Times New Roman" w:hAnsi="Times New Roman"/>
      <w:sz w:val="18"/>
      <w:szCs w:val="18"/>
    </w:rPr>
  </w:style>
  <w:style w:type="character" w:customStyle="1" w:styleId="Char1">
    <w:name w:val="页脚 Char"/>
    <w:link w:val="a5"/>
    <w:uiPriority w:val="99"/>
    <w:qFormat/>
    <w:locked/>
    <w:rsid w:val="00F84626"/>
    <w:rPr>
      <w:sz w:val="18"/>
    </w:rPr>
  </w:style>
  <w:style w:type="character" w:customStyle="1" w:styleId="BodyTextChar">
    <w:name w:val="Body Text Char"/>
    <w:basedOn w:val="a1"/>
    <w:uiPriority w:val="99"/>
    <w:semiHidden/>
    <w:qFormat/>
    <w:rsid w:val="00F84626"/>
    <w:rPr>
      <w:rFonts w:ascii="Times New Roman" w:hAnsi="Times New Roman"/>
      <w:szCs w:val="24"/>
    </w:rPr>
  </w:style>
  <w:style w:type="character" w:customStyle="1" w:styleId="Char">
    <w:name w:val="正文文本 Char"/>
    <w:link w:val="a0"/>
    <w:uiPriority w:val="99"/>
    <w:qFormat/>
    <w:locked/>
    <w:rsid w:val="00F84626"/>
    <w:rPr>
      <w:rFonts w:ascii="仿宋_GB2312" w:eastAsia="仿宋_GB2312" w:hAnsi="Times New Roman"/>
      <w:sz w:val="24"/>
    </w:rPr>
  </w:style>
  <w:style w:type="paragraph" w:customStyle="1" w:styleId="Default">
    <w:name w:val="Default"/>
    <w:uiPriority w:val="99"/>
    <w:qFormat/>
    <w:rsid w:val="00F84626"/>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F84626"/>
    <w:pPr>
      <w:ind w:firstLineChars="200" w:firstLine="420"/>
    </w:pPr>
  </w:style>
  <w:style w:type="character" w:customStyle="1" w:styleId="1Char">
    <w:name w:val="标题 1 Char"/>
    <w:basedOn w:val="a1"/>
    <w:link w:val="1"/>
    <w:uiPriority w:val="9"/>
    <w:qFormat/>
    <w:rsid w:val="00F84626"/>
    <w:rPr>
      <w:rFonts w:ascii="Times New Roman" w:hAnsi="Times New Roman"/>
      <w:b/>
      <w:bCs/>
      <w:kern w:val="44"/>
      <w:sz w:val="44"/>
      <w:szCs w:val="44"/>
    </w:rPr>
  </w:style>
  <w:style w:type="character" w:customStyle="1" w:styleId="2Char">
    <w:name w:val="标题 2 Char"/>
    <w:basedOn w:val="a1"/>
    <w:link w:val="2"/>
    <w:uiPriority w:val="9"/>
    <w:qFormat/>
    <w:rsid w:val="00F84626"/>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8462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84626"/>
    <w:rPr>
      <w:rFonts w:ascii="Times New Roman" w:hAnsi="Times New Roman"/>
      <w:kern w:val="2"/>
      <w:sz w:val="18"/>
      <w:szCs w:val="18"/>
    </w:rPr>
  </w:style>
  <w:style w:type="character" w:customStyle="1" w:styleId="3Char">
    <w:name w:val="标题 3 Char"/>
    <w:basedOn w:val="a1"/>
    <w:link w:val="3"/>
    <w:uiPriority w:val="9"/>
    <w:qFormat/>
    <w:rsid w:val="00F84626"/>
    <w:rPr>
      <w:rFonts w:ascii="Times New Roman" w:hAnsi="Times New Roman"/>
      <w:b/>
      <w:bCs/>
      <w:kern w:val="2"/>
      <w:sz w:val="32"/>
      <w:szCs w:val="32"/>
    </w:rPr>
  </w:style>
  <w:style w:type="paragraph" w:customStyle="1" w:styleId="TOC2">
    <w:name w:val="TOC 标题2"/>
    <w:basedOn w:val="1"/>
    <w:next w:val="a"/>
    <w:uiPriority w:val="39"/>
    <w:unhideWhenUsed/>
    <w:qFormat/>
    <w:rsid w:val="00F8462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bjh-p">
    <w:name w:val="bjh-p"/>
    <w:basedOn w:val="a1"/>
    <w:qFormat/>
    <w:rsid w:val="00F84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图</a:t>
            </a:r>
            <a:r>
              <a:rPr lang="en-US" altLang="zh-CN"/>
              <a:t>1</a:t>
            </a:r>
            <a:r>
              <a:rPr lang="zh-CN" altLang="en-US"/>
              <a:t>：收、支决算总计变动情况图</a:t>
            </a:r>
          </a:p>
        </c:rich>
      </c:tx>
      <c:overlay val="0"/>
    </c:title>
    <c:autoTitleDeleted val="0"/>
    <c:plotArea>
      <c:layout/>
      <c:barChart>
        <c:barDir val="col"/>
        <c:grouping val="clustered"/>
        <c:varyColors val="0"/>
        <c:ser>
          <c:idx val="0"/>
          <c:order val="0"/>
          <c:tx>
            <c:strRef>
              <c:f>Sheet1!$B$2</c:f>
              <c:strCache>
                <c:ptCount val="1"/>
                <c:pt idx="0">
                  <c:v>收、支决算总计（万元）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Sheet1!$A$3:$A$4</c:f>
              <c:numCache>
                <c:formatCode>General</c:formatCode>
                <c:ptCount val="2"/>
                <c:pt idx="0">
                  <c:v>2019</c:v>
                </c:pt>
                <c:pt idx="1">
                  <c:v>2020</c:v>
                </c:pt>
              </c:numCache>
            </c:numRef>
          </c:cat>
          <c:val>
            <c:numRef>
              <c:f>Sheet1!$B$3:$B$4</c:f>
              <c:numCache>
                <c:formatCode>General</c:formatCode>
                <c:ptCount val="2"/>
                <c:pt idx="0">
                  <c:v>780.34999999999991</c:v>
                </c:pt>
                <c:pt idx="1">
                  <c:v>746.23</c:v>
                </c:pt>
              </c:numCache>
            </c:numRef>
          </c:val>
        </c:ser>
        <c:dLbls>
          <c:showLegendKey val="0"/>
          <c:showVal val="0"/>
          <c:showCatName val="0"/>
          <c:showSerName val="0"/>
          <c:showPercent val="0"/>
          <c:showBubbleSize val="0"/>
        </c:dLbls>
        <c:gapWidth val="150"/>
        <c:axId val="163182464"/>
        <c:axId val="192851968"/>
      </c:barChart>
      <c:catAx>
        <c:axId val="1631824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2851968"/>
        <c:crosses val="autoZero"/>
        <c:auto val="1"/>
        <c:lblAlgn val="ctr"/>
        <c:lblOffset val="100"/>
        <c:noMultiLvlLbl val="0"/>
      </c:catAx>
      <c:valAx>
        <c:axId val="1928519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318246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图2：收入决算结构图</c:v>
                </c:pt>
              </c:strCache>
            </c:strRef>
          </c:tx>
          <c:dLbls>
            <c:dLbl>
              <c:idx val="0"/>
              <c:layout>
                <c:manualLayout>
                  <c:x val="2.7088096486628754E-2"/>
                  <c:y val="-0.75688312298134997"/>
                </c:manualLayout>
              </c:layout>
              <c:tx>
                <c:rich>
                  <a:bodyPr/>
                  <a:lstStyle/>
                  <a:p>
                    <a:r>
                      <a:rPr lang="en-US" altLang="zh-CN"/>
                      <a:t>746.23</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72887069588249"/>
                      <c:h val="0.0495356037151703"/>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一般公共预算财政拨款收入(万元)</c:v>
                </c:pt>
              </c:strCache>
              <c:extLst>
                <c:ext xmlns:c15="http://schemas.microsoft.com/office/drawing/2012/chart" uri="{02D57815-91ED-43cb-92C2-25804820EDAC}">
                  <c15:fullRef>
                    <c15:sqref>Sheet1!$A$2:$A$5</c15:sqref>
                  </c15:fullRef>
                </c:ext>
              </c:extLst>
            </c:strRef>
          </c:cat>
          <c:val>
            <c:numRef>
              <c:f>Sheet1!$B$2</c:f>
              <c:numCache>
                <c:formatCode>General</c:formatCode>
                <c:ptCount val="1"/>
                <c:pt idx="0">
                  <c:v>746.23</c:v>
                </c:pt>
              </c:numCache>
              <c:extLst>
                <c:ext xmlns:c15="http://schemas.microsoft.com/office/drawing/2012/chart" uri="{02D57815-91ED-43cb-92C2-25804820EDAC}">
                  <c15:fullRef>
                    <c15:sqref>Sheet1!$B$2:$B$5</c15:sqref>
                  </c15:fullRef>
                </c:ext>
              </c:extLst>
            </c:numRef>
          </c:val>
        </c:ser>
        <c:dLbls>
          <c:showLegendKey val="0"/>
          <c:showVal val="1"/>
          <c:showCatName val="0"/>
          <c:showSerName val="0"/>
          <c:showPercent val="0"/>
          <c:showBubbleSize val="0"/>
          <c:showLeaderLines val="1"/>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列1</c:v>
                      </c:pt>
                    </c:strCache>
                  </c:strRef>
                </c:tx>
                <c:explosion val="0"/>
                <c:dPt>
                  <c:idx val="0"/>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extLst>
                      <c:ext uri="{02D57815-91ED-43cb-92C2-25804820EDAC}">
                        <c15:fullRef>
                          <c15:sqref>Sheet1!$A$2:$A$5</c15:sqref>
                        </c15:fullRef>
                        <c15:formulaRef>
                          <c15:sqref>Sheet1!$A$2</c15:sqref>
                        </c15:formulaRef>
                      </c:ext>
                    </c:extLst>
                    <c:strCache>
                      <c:ptCount val="1"/>
                      <c:pt idx="0">
                        <c:v>一般公共预算财政拨款收入</c:v>
                      </c:pt>
                    </c:strCache>
                  </c:strRef>
                </c:cat>
                <c:val>
                  <c:numRef>
                    <c:extLst>
                      <c:ext uri="{02D57815-91ED-43cb-92C2-25804820EDAC}">
                        <c15:fullRef>
                          <c15:sqref>Sheet1!$C$2:$C$5</c15:sqref>
                        </c15:fullRef>
                        <c15:formulaRef>
                          <c15:sqref>Sheet1!$C$2</c15:sqref>
                        </c15:formulaRef>
                      </c:ext>
                    </c:extLst>
                    <c:numCache>
                      <c:formatCode>General</c:formatCode>
                      <c:ptCount val="1"/>
                    </c:numCache>
                  </c:numRef>
                </c:val>
              </c15:ser>
            </c15:filteredPieSeries>
          </c:ext>
        </c:extLst>
      </c:pieChart>
    </c:plotArea>
    <c:legend>
      <c:legendPos val="r"/>
      <c:layout>
        <c:manualLayout>
          <c:xMode val="edge"/>
          <c:yMode val="edge"/>
          <c:x val="0.63050806645798363"/>
          <c:y val="0.3376676986584114"/>
          <c:w val="0.35552612569227154"/>
          <c:h val="6.0268317853457258E-2"/>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图</a:t>
            </a:r>
            <a:r>
              <a:rPr lang="en-US" altLang="zh-CN"/>
              <a:t>3</a:t>
            </a:r>
            <a:r>
              <a:rPr lang="zh-CN" altLang="en-US"/>
              <a:t>：支出决算结构图</a:t>
            </a:r>
          </a:p>
        </c:rich>
      </c:tx>
      <c:layout>
        <c:manualLayout>
          <c:xMode val="edge"/>
          <c:yMode val="edge"/>
          <c:x val="0.23091740910185427"/>
          <c:y val="2.9308565531475705E-2"/>
        </c:manualLayout>
      </c:layout>
      <c:overlay val="0"/>
    </c:title>
    <c:autoTitleDeleted val="0"/>
    <c:plotArea>
      <c:layout/>
      <c:pieChart>
        <c:varyColors val="1"/>
        <c:ser>
          <c:idx val="0"/>
          <c:order val="0"/>
          <c:tx>
            <c:strRef>
              <c:f>Sheet1!$B$1</c:f>
              <c:strCache>
                <c:ptCount val="1"/>
                <c:pt idx="0">
                  <c:v>本年支出</c:v>
                </c:pt>
              </c:strCache>
            </c:strRef>
          </c:tx>
          <c:dLbls>
            <c:dLbl>
              <c:idx val="0"/>
              <c:tx>
                <c:rich>
                  <a:bodyPr/>
                  <a:lstStyle/>
                  <a:p>
                    <a:r>
                      <a:rPr lang="en-US" altLang="zh-CN"/>
                      <a:t>703.55</a:t>
                    </a:r>
                  </a:p>
                </c:rich>
              </c:tx>
              <c:dLblPos val="bestFit"/>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ltLang="zh-CN"/>
                      <a:t>42.68</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基本支出（万元）</c:v>
                </c:pt>
                <c:pt idx="1">
                  <c:v>项目支出（万元）</c:v>
                </c:pt>
              </c:strCache>
            </c:strRef>
          </c:cat>
          <c:val>
            <c:numRef>
              <c:f>Sheet1!$B$2:$B$3</c:f>
              <c:numCache>
                <c:formatCode>General</c:formatCode>
                <c:ptCount val="2"/>
                <c:pt idx="0">
                  <c:v>703.56</c:v>
                </c:pt>
                <c:pt idx="1">
                  <c:v>42.690000000000005</c:v>
                </c:pt>
              </c:numCache>
            </c:numRef>
          </c:val>
        </c:ser>
        <c:dLbls>
          <c:showLegendKey val="0"/>
          <c:showVal val="1"/>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图</a:t>
            </a:r>
            <a:r>
              <a:rPr lang="en-US" altLang="zh-CN"/>
              <a:t>4</a:t>
            </a:r>
            <a:r>
              <a:rPr lang="zh-CN" altLang="en-US"/>
              <a:t>：财政拨款收、支决算总计变动情况</a:t>
            </a:r>
          </a:p>
        </c:rich>
      </c:tx>
      <c:overlay val="0"/>
    </c:title>
    <c:autoTitleDeleted val="0"/>
    <c:plotArea>
      <c:layout/>
      <c:barChart>
        <c:barDir val="col"/>
        <c:grouping val="clustered"/>
        <c:varyColors val="0"/>
        <c:ser>
          <c:idx val="0"/>
          <c:order val="0"/>
          <c:tx>
            <c:strRef>
              <c:f>Sheet1!$B$2</c:f>
              <c:strCache>
                <c:ptCount val="1"/>
                <c:pt idx="0">
                  <c:v>财政拨款收、支决算总计（万元）</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Sheet1!$A$3:$A$4</c:f>
              <c:numCache>
                <c:formatCode>General</c:formatCode>
                <c:ptCount val="2"/>
                <c:pt idx="0">
                  <c:v>2019</c:v>
                </c:pt>
                <c:pt idx="1">
                  <c:v>2020</c:v>
                </c:pt>
              </c:numCache>
            </c:numRef>
          </c:cat>
          <c:val>
            <c:numRef>
              <c:f>Sheet1!$B$3:$B$4</c:f>
              <c:numCache>
                <c:formatCode>General</c:formatCode>
                <c:ptCount val="2"/>
                <c:pt idx="0">
                  <c:v>780.34999999999991</c:v>
                </c:pt>
                <c:pt idx="1">
                  <c:v>746.23</c:v>
                </c:pt>
              </c:numCache>
            </c:numRef>
          </c:val>
        </c:ser>
        <c:dLbls>
          <c:showLegendKey val="0"/>
          <c:showVal val="0"/>
          <c:showCatName val="0"/>
          <c:showSerName val="0"/>
          <c:showPercent val="0"/>
          <c:showBubbleSize val="0"/>
        </c:dLbls>
        <c:gapWidth val="150"/>
        <c:axId val="192813312"/>
        <c:axId val="195387392"/>
      </c:barChart>
      <c:catAx>
        <c:axId val="19281331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5387392"/>
        <c:crosses val="autoZero"/>
        <c:auto val="1"/>
        <c:lblAlgn val="ctr"/>
        <c:lblOffset val="100"/>
        <c:noMultiLvlLbl val="0"/>
      </c:catAx>
      <c:valAx>
        <c:axId val="195387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2813312"/>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图</a:t>
            </a:r>
            <a:r>
              <a:rPr lang="en-US" altLang="zh-CN"/>
              <a:t>5</a:t>
            </a:r>
            <a:r>
              <a:rPr lang="zh-CN" altLang="en-US"/>
              <a:t>：一般公共预算财政拨款支出</a:t>
            </a:r>
            <a:r>
              <a:rPr lang="en-US" altLang="zh-CN"/>
              <a:t/>
            </a:r>
            <a:br>
              <a:rPr lang="en-US" altLang="zh-CN"/>
            </a:br>
            <a:r>
              <a:rPr lang="zh-CN" altLang="en-US"/>
              <a:t>决算变动情况</a:t>
            </a:r>
          </a:p>
        </c:rich>
      </c:tx>
      <c:overlay val="0"/>
    </c:title>
    <c:autoTitleDeleted val="0"/>
    <c:plotArea>
      <c:layout/>
      <c:barChart>
        <c:barDir val="col"/>
        <c:grouping val="clustered"/>
        <c:varyColors val="0"/>
        <c:ser>
          <c:idx val="0"/>
          <c:order val="0"/>
          <c:tx>
            <c:strRef>
              <c:f>Sheet1!$B$1</c:f>
              <c:strCache>
                <c:ptCount val="1"/>
                <c:pt idx="0">
                  <c:v>一般公共预算财政拨款支出决算变动情况（万元）</c:v>
                </c:pt>
              </c:strCache>
            </c:strRef>
          </c:tx>
          <c:invertIfNegative val="0"/>
          <c:cat>
            <c:numRef>
              <c:f>Sheet1!$A$2:$A$3</c:f>
              <c:numCache>
                <c:formatCode>General</c:formatCode>
                <c:ptCount val="2"/>
                <c:pt idx="0">
                  <c:v>2019</c:v>
                </c:pt>
                <c:pt idx="1">
                  <c:v>2020</c:v>
                </c:pt>
              </c:numCache>
            </c:numRef>
          </c:cat>
          <c:val>
            <c:numRef>
              <c:f>Sheet1!$B$2:$B$3</c:f>
              <c:numCache>
                <c:formatCode>General</c:formatCode>
                <c:ptCount val="2"/>
                <c:pt idx="0">
                  <c:v>780.34999999999991</c:v>
                </c:pt>
                <c:pt idx="1">
                  <c:v>746.23</c:v>
                </c:pt>
              </c:numCache>
            </c:numRef>
          </c:val>
        </c:ser>
        <c:dLbls>
          <c:showLegendKey val="0"/>
          <c:showVal val="0"/>
          <c:showCatName val="0"/>
          <c:showSerName val="0"/>
          <c:showPercent val="0"/>
          <c:showBubbleSize val="0"/>
        </c:dLbls>
        <c:gapWidth val="150"/>
        <c:axId val="195403776"/>
        <c:axId val="195405312"/>
      </c:barChart>
      <c:catAx>
        <c:axId val="195403776"/>
        <c:scaling>
          <c:orientation val="minMax"/>
        </c:scaling>
        <c:delete val="0"/>
        <c:axPos val="b"/>
        <c:numFmt formatCode="General" sourceLinked="1"/>
        <c:majorTickMark val="out"/>
        <c:minorTickMark val="none"/>
        <c:tickLblPos val="nextTo"/>
        <c:crossAx val="195405312"/>
        <c:crosses val="autoZero"/>
        <c:auto val="1"/>
        <c:lblAlgn val="ctr"/>
        <c:lblOffset val="100"/>
        <c:noMultiLvlLbl val="0"/>
      </c:catAx>
      <c:valAx>
        <c:axId val="195405312"/>
        <c:scaling>
          <c:orientation val="minMax"/>
        </c:scaling>
        <c:delete val="0"/>
        <c:axPos val="l"/>
        <c:majorGridlines/>
        <c:numFmt formatCode="General" sourceLinked="1"/>
        <c:majorTickMark val="out"/>
        <c:minorTickMark val="none"/>
        <c:tickLblPos val="nextTo"/>
        <c:crossAx val="19540377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baseline="0">
                <a:solidFill>
                  <a:schemeClr val="tx1">
                    <a:lumMod val="65000"/>
                    <a:lumOff val="35000"/>
                  </a:schemeClr>
                </a:solidFill>
                <a:latin typeface="黑体" pitchFamily="49" charset="-122"/>
                <a:ea typeface="黑体" pitchFamily="49" charset="-122"/>
                <a:cs typeface="+mn-cs"/>
              </a:defRPr>
            </a:pPr>
            <a:r>
              <a:rPr lang="zh-CN" altLang="en-US" sz="1600" b="1">
                <a:latin typeface="黑体" pitchFamily="49" charset="-122"/>
                <a:ea typeface="黑体" pitchFamily="49" charset="-122"/>
              </a:rPr>
              <a:t>图</a:t>
            </a:r>
            <a:r>
              <a:rPr lang="en-US" altLang="zh-CN" sz="1600" b="1">
                <a:latin typeface="黑体" pitchFamily="49" charset="-122"/>
                <a:ea typeface="黑体" pitchFamily="49" charset="-122"/>
              </a:rPr>
              <a:t>6</a:t>
            </a:r>
            <a:r>
              <a:rPr lang="zh-CN" altLang="en-US" sz="1600" b="1">
                <a:latin typeface="黑体" pitchFamily="49" charset="-122"/>
                <a:ea typeface="黑体" pitchFamily="49" charset="-122"/>
              </a:rPr>
              <a:t>：一般公共预算财政拨款支出决算结构</a:t>
            </a:r>
          </a:p>
        </c:rich>
      </c:tx>
      <c:layout>
        <c:manualLayout>
          <c:xMode val="edge"/>
          <c:yMode val="edge"/>
          <c:x val="8.3794847098483644E-2"/>
          <c:y val="6.1919504643962895E-3"/>
        </c:manualLayout>
      </c:layout>
      <c:overlay val="0"/>
      <c:spPr>
        <a:noFill/>
        <a:ln>
          <a:noFill/>
        </a:ln>
        <a:effectLst/>
      </c:spPr>
    </c:title>
    <c:autoTitleDeleted val="0"/>
    <c:plotArea>
      <c:layout/>
      <c:pieChart>
        <c:varyColors val="1"/>
        <c:ser>
          <c:idx val="0"/>
          <c:order val="0"/>
          <c:tx>
            <c:strRef>
              <c:f>Sheet1!$B$1</c:f>
              <c:strCache>
                <c:ptCount val="1"/>
                <c:pt idx="0">
                  <c:v>一般公共预算财政拨款支出</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tx>
                <c:rich>
                  <a:bodyPr/>
                  <a:lstStyle/>
                  <a:p>
                    <a:r>
                      <a:rPr lang="en-US" altLang="zh-CN"/>
                      <a:t>323.11</a:t>
                    </a:r>
                  </a:p>
                </c:rich>
              </c:tx>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ltLang="zh-CN"/>
                      <a:t>43.03</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公共安全支出（万元）</c:v>
                </c:pt>
                <c:pt idx="1">
                  <c:v>教育支出（万元）</c:v>
                </c:pt>
                <c:pt idx="2">
                  <c:v>社会保障和就业支出（万元）</c:v>
                </c:pt>
                <c:pt idx="3">
                  <c:v>卫生健康支出（万元）</c:v>
                </c:pt>
                <c:pt idx="4">
                  <c:v>住房保障支出（万元）</c:v>
                </c:pt>
              </c:strCache>
            </c:strRef>
          </c:cat>
          <c:val>
            <c:numRef>
              <c:f>Sheet1!$B$2:$B$6</c:f>
              <c:numCache>
                <c:formatCode>General</c:formatCode>
                <c:ptCount val="5"/>
                <c:pt idx="0">
                  <c:v>323.11</c:v>
                </c:pt>
                <c:pt idx="1">
                  <c:v>1.1299999999999997</c:v>
                </c:pt>
                <c:pt idx="2">
                  <c:v>354.44</c:v>
                </c:pt>
                <c:pt idx="3">
                  <c:v>43.03</c:v>
                </c:pt>
                <c:pt idx="4">
                  <c:v>24.52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tx1"/>
                </a:solidFill>
                <a:latin typeface="+mn-lt"/>
                <a:ea typeface="+mn-ea"/>
                <a:cs typeface="+mn-cs"/>
              </a:defRPr>
            </a:pPr>
            <a:r>
              <a:rPr lang="zh-CN" altLang="en-US"/>
              <a:t>图</a:t>
            </a:r>
            <a:r>
              <a:rPr lang="en-US" altLang="zh-CN"/>
              <a:t>7</a:t>
            </a:r>
            <a:r>
              <a:rPr lang="zh-CN" altLang="en-US"/>
              <a:t>：“三公”经费财政拨款支出结构图</a:t>
            </a:r>
          </a:p>
        </c:rich>
      </c:tx>
      <c:layout>
        <c:manualLayout>
          <c:xMode val="edge"/>
          <c:yMode val="edge"/>
          <c:x val="0.14314953045990816"/>
          <c:y val="2.4767801857585103E-2"/>
        </c:manualLayout>
      </c:layout>
      <c:overlay val="0"/>
    </c:title>
    <c:autoTitleDeleted val="0"/>
    <c:plotArea>
      <c:layout/>
      <c:pieChart>
        <c:varyColors val="1"/>
        <c:ser>
          <c:idx val="0"/>
          <c:order val="0"/>
          <c:tx>
            <c:strRef>
              <c:f>Sheet1!$B$1</c:f>
              <c:strCache>
                <c:ptCount val="1"/>
                <c:pt idx="0">
                  <c:v>“三公”经费财政拨款支出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公务用车购置及运行维护费支出(万元)</c:v>
                </c:pt>
                <c:pt idx="1">
                  <c:v>公务接待费支出（万元）</c:v>
                </c:pt>
              </c:strCache>
            </c:strRef>
          </c:cat>
          <c:val>
            <c:numRef>
              <c:f>Sheet1!$B$2:$B$3</c:f>
              <c:numCache>
                <c:formatCode>General</c:formatCode>
                <c:ptCount val="2"/>
                <c:pt idx="0">
                  <c:v>15</c:v>
                </c:pt>
                <c:pt idx="1">
                  <c:v>0.13</c:v>
                </c:pt>
              </c:numCache>
            </c:numRef>
          </c:val>
        </c:ser>
        <c:dLbls>
          <c:showLegendKey val="0"/>
          <c:showVal val="1"/>
          <c:showCatName val="0"/>
          <c:showSerName val="0"/>
          <c:showPercent val="0"/>
          <c:showBubbleSize val="0"/>
          <c:showLeaderLines val="1"/>
        </c:dLbls>
        <c:firstSliceAng val="0"/>
      </c:pieChart>
    </c:plotArea>
    <c:legend>
      <c:legendPos val="r"/>
      <c:layout>
        <c:manualLayout>
          <c:xMode val="edge"/>
          <c:yMode val="edge"/>
          <c:x val="0.59810022543232932"/>
          <c:y val="0.29699812291265454"/>
          <c:w val="0.40036631702625647"/>
          <c:h val="0.1013224120978688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8CFE-80FE-4269-BB96-967CB2FB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1140</Words>
  <Characters>6503</Characters>
  <Application>Microsoft Office Word</Application>
  <DocSecurity>0</DocSecurity>
  <Lines>54</Lines>
  <Paragraphs>15</Paragraphs>
  <ScaleCrop>false</ScaleCrop>
  <Company>四川省财政厅</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cp:lastModifiedBy>
  <cp:revision>274</cp:revision>
  <cp:lastPrinted>2021-08-25T00:51:00Z</cp:lastPrinted>
  <dcterms:created xsi:type="dcterms:W3CDTF">2020-08-04T01:49:00Z</dcterms:created>
  <dcterms:modified xsi:type="dcterms:W3CDTF">2022-11-13T04:35:00Z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F62F4BE2A130464184AF04D356FF6A24</vt:lpwstr>
  </property>
</Properties>
</file>