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193"/>
      <w:bookmarkStart w:id="2" w:name="_Toc15378441"/>
      <w:bookmarkStart w:id="3" w:name="_Toc15396597"/>
      <w:bookmarkStart w:id="4" w:name="_Toc15396475"/>
      <w:bookmarkStart w:id="5" w:name="_Toc1537742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7426"/>
      <w:bookmarkStart w:id="8" w:name="_Toc15396476"/>
      <w:bookmarkStart w:id="9" w:name="_Toc15378442"/>
      <w:bookmarkStart w:id="10" w:name="_Toc15377194"/>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荞窝监狱单位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黑体"/>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黑体"/>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p>
    <w:p>
      <w:pPr>
        <w:pStyle w:val="11"/>
        <w:adjustRightInd w:val="0"/>
        <w:snapToGrid w:val="0"/>
        <w:spacing w:line="440" w:lineRule="exac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lang w:val="en-US" w:eastAsia="zh-CN"/>
        </w:rPr>
        <w:t>2021年重点</w:t>
      </w:r>
      <w:r>
        <w:rPr>
          <w:rFonts w:hint="eastAsia" w:ascii="宋体" w:hAnsi="宋体" w:eastAsia="宋体" w:cs="宋体"/>
          <w:color w:val="auto"/>
          <w:sz w:val="24"/>
          <w:highlight w:val="none"/>
        </w:rPr>
        <w:t>工作</w:t>
      </w:r>
      <w:r>
        <w:rPr>
          <w:rFonts w:hint="eastAsia" w:ascii="宋体" w:hAnsi="宋体" w:eastAsia="宋体" w:cs="宋体"/>
          <w:color w:val="auto"/>
          <w:sz w:val="24"/>
          <w:highlight w:val="none"/>
          <w:lang w:eastAsia="zh-CN"/>
        </w:rPr>
        <w:t>完成情况</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黑体"/>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p>
    <w:p>
      <w:pPr>
        <w:pStyle w:val="10"/>
        <w:adjustRightInd w:val="0"/>
        <w:snapToGrid w:val="0"/>
        <w:spacing w:before="0" w:line="440" w:lineRule="exact"/>
        <w:jc w:val="left"/>
        <w:rPr>
          <w:rFonts w:cs="黑体"/>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黑体"/>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黑体"/>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7"/>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7"/>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numPr>
          <w:ilvl w:val="0"/>
          <w:numId w:val="1"/>
        </w:numPr>
        <w:rPr>
          <w:rStyle w:val="28"/>
          <w:rFonts w:hint="eastAsia" w:ascii="黑体" w:hAnsi="黑体" w:eastAsia="黑体"/>
          <w:b w:val="0"/>
          <w:bCs w:val="0"/>
          <w:color w:val="auto"/>
          <w:highlight w:val="none"/>
          <w:lang w:eastAsia="zh-CN"/>
        </w:rPr>
      </w:pPr>
      <w:bookmarkStart w:id="14" w:name="_Toc15396600"/>
      <w:bookmarkStart w:id="15" w:name="_Toc15377197"/>
      <w:r>
        <w:rPr>
          <w:rStyle w:val="28"/>
          <w:rFonts w:hint="eastAsia" w:ascii="黑体" w:hAnsi="黑体" w:eastAsia="黑体"/>
          <w:b w:val="0"/>
          <w:bCs w:val="0"/>
          <w:color w:val="auto"/>
          <w:highlight w:val="none"/>
        </w:rPr>
        <w:t>职能</w:t>
      </w:r>
      <w:r>
        <w:rPr>
          <w:rStyle w:val="28"/>
          <w:rFonts w:hint="eastAsia" w:ascii="黑体" w:hAnsi="黑体" w:eastAsia="黑体"/>
          <w:b w:val="0"/>
          <w:bCs w:val="0"/>
          <w:color w:val="auto"/>
          <w:highlight w:val="none"/>
          <w:lang w:eastAsia="zh-CN"/>
        </w:rPr>
        <w:t>简介</w:t>
      </w:r>
    </w:p>
    <w:p>
      <w:pPr>
        <w:pStyle w:val="12"/>
        <w:widowControl/>
        <w:pBdr>
          <w:bottom w:val="none" w:color="auto" w:sz="0" w:space="0"/>
        </w:pBdr>
        <w:wordWrap/>
        <w:adjustRightInd/>
        <w:snapToGrid/>
        <w:spacing w:before="76" w:beforeAutospacing="0" w:after="76" w:afterAutospacing="0" w:line="580" w:lineRule="atLeast"/>
        <w:ind w:left="0" w:right="0" w:firstLine="482"/>
        <w:textAlignment w:val="baseline"/>
        <w:rPr>
          <w:rFonts w:hint="eastAsia" w:ascii="宋体" w:hAnsi="宋体" w:eastAsia="仿宋_GB2312"/>
          <w:color w:val="auto"/>
          <w:kern w:val="2"/>
          <w:sz w:val="32"/>
          <w:szCs w:val="32"/>
          <w:lang w:val="en-US" w:eastAsia="zh-CN" w:bidi="ar-SA"/>
        </w:rPr>
      </w:pPr>
      <w:r>
        <w:rPr>
          <w:rFonts w:hint="eastAsia" w:ascii="仿宋_GB2312" w:hAnsi="仿宋_GB2312" w:eastAsia="仿宋_GB2312" w:cs="仿宋_GB2312"/>
          <w:b w:val="0"/>
          <w:bCs/>
          <w:sz w:val="32"/>
          <w:highlight w:val="none"/>
          <w:lang w:eastAsia="zh-CN"/>
        </w:rPr>
        <w:t>荞窝</w:t>
      </w:r>
      <w:r>
        <w:rPr>
          <w:rFonts w:hint="eastAsia" w:ascii="仿宋_GB2312" w:hAnsi="仿宋_GB2312" w:eastAsia="仿宋_GB2312" w:cs="仿宋_GB2312"/>
          <w:color w:val="auto"/>
          <w:kern w:val="2"/>
          <w:sz w:val="32"/>
          <w:szCs w:val="32"/>
          <w:lang w:val="en-US" w:eastAsia="zh-CN" w:bidi="ar-SA"/>
        </w:rPr>
        <w:t>监狱是</w:t>
      </w:r>
      <w:r>
        <w:rPr>
          <w:rFonts w:hint="eastAsia" w:ascii="宋体" w:hAnsi="宋体" w:eastAsia="仿宋_GB2312"/>
          <w:color w:val="auto"/>
          <w:kern w:val="2"/>
          <w:sz w:val="32"/>
          <w:szCs w:val="32"/>
          <w:lang w:val="en-US" w:eastAsia="zh-CN" w:bidi="ar-SA"/>
        </w:rPr>
        <w:t>国家刑罚执行机关，具有惩罚改造罪犯，维护社会稳定的职能。监狱坚持以习近平新时代中国特色社会主义思想为指导，统筹推进政治改造为统领的“五大改造”新格局。紧紧围绕省监狱管理局“五年三步走”战略和“五大体系”建设目标任务，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荞窝监狱早日建成法德兼治的新型现代文明监狱，为建设美丽繁荣和谐四川，推动治蜀兴川再上新台阶作出新的更大的贡献。</w:t>
      </w:r>
    </w:p>
    <w:p>
      <w:pPr>
        <w:numPr>
          <w:numId w:val="0"/>
        </w:numPr>
        <w:rPr>
          <w:rFonts w:hint="eastAsia"/>
        </w:rPr>
      </w:pPr>
    </w:p>
    <w:p>
      <w:pPr>
        <w:pStyle w:val="4"/>
        <w:numPr>
          <w:numId w:val="0"/>
        </w:numPr>
        <w:rPr>
          <w:rFonts w:hint="eastAsia" w:ascii="黑体" w:hAnsi="黑体" w:eastAsia="黑体"/>
          <w:b w:val="0"/>
          <w:color w:val="auto"/>
          <w:highlight w:val="none"/>
          <w:lang w:eastAsia="zh-CN"/>
        </w:rPr>
      </w:pPr>
      <w:r>
        <w:rPr>
          <w:rFonts w:hint="eastAsia" w:ascii="黑体" w:hAnsi="黑体" w:eastAsia="黑体"/>
          <w:b w:val="0"/>
          <w:color w:val="auto"/>
          <w:highlight w:val="none"/>
          <w:lang w:val="en-US" w:eastAsia="zh-CN"/>
        </w:rPr>
        <w:t>二、2021年重点</w:t>
      </w:r>
      <w:r>
        <w:rPr>
          <w:rFonts w:hint="eastAsia" w:ascii="黑体" w:hAnsi="黑体" w:eastAsia="黑体"/>
          <w:b w:val="0"/>
          <w:color w:val="auto"/>
          <w:highlight w:val="none"/>
        </w:rPr>
        <w:t>工作</w:t>
      </w:r>
      <w:bookmarkEnd w:id="14"/>
      <w:bookmarkEnd w:id="15"/>
      <w:r>
        <w:rPr>
          <w:rFonts w:hint="eastAsia" w:ascii="黑体" w:hAnsi="黑体" w:eastAsia="黑体"/>
          <w:b w:val="0"/>
          <w:color w:val="auto"/>
          <w:highlight w:val="none"/>
          <w:lang w:eastAsia="zh-CN"/>
        </w:rPr>
        <w:t>完成情况</w:t>
      </w:r>
    </w:p>
    <w:p>
      <w:p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202</w:t>
      </w:r>
      <w:r>
        <w:rPr>
          <w:rFonts w:hint="eastAsia" w:ascii="宋体" w:hAnsi="宋体" w:cs="Times New Roman"/>
          <w:kern w:val="2"/>
          <w:sz w:val="32"/>
          <w:szCs w:val="32"/>
          <w:lang w:val="en-US" w:eastAsia="zh-CN" w:bidi="ar-SA"/>
        </w:rPr>
        <w:t>1</w:t>
      </w:r>
      <w:r>
        <w:rPr>
          <w:rFonts w:hint="eastAsia" w:ascii="宋体" w:hAnsi="宋体" w:eastAsia="仿宋_GB2312" w:cs="Times New Roman"/>
          <w:kern w:val="2"/>
          <w:sz w:val="32"/>
          <w:szCs w:val="32"/>
          <w:lang w:val="en-US" w:eastAsia="zh-CN" w:bidi="ar-SA"/>
        </w:rPr>
        <w:t>年，在省厅局党委的坚强领导下，监狱党委团结带领全狱民警职工，固本强基，稳中求进，确保了监狱安全稳定，推动监狱整体工作取得了长足发展。</w:t>
      </w:r>
    </w:p>
    <w:p>
      <w:pPr>
        <w:widowControl/>
        <w:ind w:firstLine="640" w:firstLineChars="200"/>
        <w:jc w:val="left"/>
        <w:rPr>
          <w:rFonts w:ascii="仿宋" w:hAnsi="仿宋" w:eastAsia="仿宋"/>
          <w:color w:val="auto"/>
          <w:kern w:val="0"/>
          <w:sz w:val="32"/>
          <w:szCs w:val="32"/>
          <w:highlight w:val="none"/>
        </w:rPr>
      </w:pPr>
      <w:r>
        <w:rPr>
          <w:rFonts w:hint="eastAsia" w:ascii="宋体" w:hAnsi="宋体" w:eastAsia="仿宋_GB2312" w:cs="Times New Roman"/>
          <w:kern w:val="2"/>
          <w:sz w:val="32"/>
          <w:szCs w:val="32"/>
          <w:lang w:val="en-US" w:eastAsia="zh-CN" w:bidi="ar-SA"/>
        </w:rPr>
        <w:t>在省厅、局党委的坚强领导下，四川省荞窝监狱乘势第二个“五年三步走”战略，凝心聚力抓发展，监狱平安防线更加牢固、依法治监更加科学、信息保障更加有力、以文化人更加多彩，成功建成“四型监狱”，顺利开启第三个“五年三步走”</w:t>
      </w:r>
      <w:r>
        <w:rPr>
          <w:rFonts w:ascii="仿宋" w:hAnsi="仿宋" w:eastAsia="仿宋"/>
          <w:color w:val="auto"/>
          <w:sz w:val="32"/>
          <w:szCs w:val="32"/>
          <w:highlight w:val="none"/>
        </w:rPr>
        <w:br w:type="page"/>
      </w:r>
    </w:p>
    <w:p>
      <w:pPr>
        <w:pStyle w:val="3"/>
        <w:ind w:right="440"/>
        <w:jc w:val="both"/>
        <w:rPr>
          <w:rStyle w:val="27"/>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7"/>
          <w:rFonts w:hint="eastAsia" w:ascii="黑体" w:hAnsi="黑体" w:eastAsia="黑体"/>
          <w:b w:val="0"/>
          <w:bCs/>
          <w:color w:val="auto"/>
          <w:highlight w:val="none"/>
          <w:lang w:eastAsia="zh-CN"/>
        </w:rPr>
        <w:t>单位</w:t>
      </w:r>
      <w:r>
        <w:rPr>
          <w:rStyle w:val="27"/>
          <w:rFonts w:hint="eastAsia" w:ascii="黑体" w:hAnsi="黑体" w:eastAsia="黑体"/>
          <w:b w:val="0"/>
          <w:bCs/>
          <w:color w:val="auto"/>
          <w:highlight w:val="none"/>
        </w:rPr>
        <w:t>决算情况说明</w:t>
      </w:r>
      <w:bookmarkEnd w:id="16"/>
      <w:bookmarkEnd w:id="17"/>
    </w:p>
    <w:p>
      <w:pPr>
        <w:rPr>
          <w:color w:val="auto"/>
          <w:highlight w:val="none"/>
        </w:rPr>
      </w:pPr>
    </w:p>
    <w:p>
      <w:pPr>
        <w:pStyle w:val="18"/>
        <w:numPr>
          <w:ilvl w:val="0"/>
          <w:numId w:val="2"/>
        </w:numPr>
        <w:spacing w:line="600" w:lineRule="exact"/>
        <w:ind w:firstLineChars="0"/>
        <w:outlineLvl w:val="1"/>
        <w:rPr>
          <w:rStyle w:val="28"/>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20039.07</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2098.32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1.公共安全支出增加。2.人员经费增加</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jc w:val="left"/>
        <w:rPr>
          <w:rFonts w:ascii="仿宋_GB2312" w:eastAsia="仿宋_GB2312"/>
          <w:color w:val="auto"/>
          <w:sz w:val="32"/>
          <w:szCs w:val="32"/>
          <w:highlight w:val="none"/>
        </w:rPr>
      </w:pPr>
    </w:p>
    <w:p>
      <w:pPr>
        <w:pStyle w:val="18"/>
        <w:numPr>
          <w:ilvl w:val="0"/>
          <w:numId w:val="2"/>
        </w:numPr>
        <w:spacing w:line="600" w:lineRule="exact"/>
        <w:ind w:firstLineChars="0"/>
        <w:outlineLvl w:val="1"/>
        <w:rPr>
          <w:rStyle w:val="28"/>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8"/>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20039.07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19946.41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99.15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92.66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0.85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，仅罗列本单位涉及的收入。</w:t>
      </w:r>
      <w:r>
        <w:rPr>
          <w:rFonts w:ascii="仿宋" w:hAnsi="仿宋" w:eastAsia="仿宋"/>
          <w:b/>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pStyle w:val="18"/>
        <w:numPr>
          <w:ilvl w:val="0"/>
          <w:numId w:val="2"/>
        </w:numPr>
        <w:spacing w:line="600" w:lineRule="exact"/>
        <w:ind w:firstLineChars="0"/>
        <w:outlineLvl w:val="1"/>
        <w:rPr>
          <w:rStyle w:val="28"/>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8"/>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20035.11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16352.76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81.62</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3682.35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18.38</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，仅罗列本单位涉及的支出。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8"/>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19946.41</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2066.85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1.公共安全支出增加。2.人员经费增加</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ascii="仿宋" w:hAnsi="仿宋" w:eastAsia="仿宋"/>
          <w:color w:val="auto"/>
          <w:sz w:val="32"/>
          <w:szCs w:val="32"/>
          <w:highlight w:val="none"/>
        </w:rPr>
      </w:pP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8"/>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19946.41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2066.85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1.公共安全支出增加。2.人员经费增加</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19946.41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15678.19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78.60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73.03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2336.58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11.71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967.86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4.85</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890.75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rPr>
          <w:rFonts w:hint="eastAsia"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19946.41</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99.65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numPr>
          <w:ilvl w:val="0"/>
          <w:numId w:val="3"/>
        </w:num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val="en-US" w:eastAsia="zh-CN"/>
        </w:rPr>
        <w:t>07</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12346.41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99.47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减少公用经费支出</w:t>
      </w:r>
      <w:r>
        <w:rPr>
          <w:rStyle w:val="14"/>
          <w:rFonts w:hint="eastAsia" w:ascii="仿宋" w:hAnsi="仿宋" w:eastAsia="仿宋"/>
          <w:b w:val="0"/>
          <w:bCs/>
          <w:color w:val="auto"/>
          <w:sz w:val="32"/>
          <w:szCs w:val="32"/>
          <w:highlight w:val="none"/>
        </w:rPr>
        <w:t>。</w:t>
      </w:r>
    </w:p>
    <w:p>
      <w:pPr>
        <w:numPr>
          <w:numId w:val="0"/>
        </w:numPr>
        <w:spacing w:line="600" w:lineRule="exact"/>
      </w:pPr>
      <w:r>
        <w:rPr>
          <w:rStyle w:val="14"/>
          <w:rFonts w:hint="eastAsia" w:ascii="仿宋" w:hAnsi="仿宋" w:eastAsia="仿宋"/>
          <w:bCs/>
          <w:color w:val="auto"/>
          <w:sz w:val="32"/>
          <w:szCs w:val="32"/>
          <w:highlight w:val="none"/>
          <w:lang w:val="en-US" w:eastAsia="zh-CN"/>
        </w:rPr>
        <w:t xml:space="preserve">    2.</w:t>
      </w:r>
      <w:r>
        <w:rPr>
          <w:rStyle w:val="14"/>
          <w:rFonts w:hint="eastAsia" w:ascii="仿宋" w:hAnsi="仿宋" w:eastAsia="仿宋"/>
          <w:bCs/>
          <w:color w:val="auto"/>
          <w:sz w:val="32"/>
          <w:szCs w:val="32"/>
          <w:highlight w:val="none"/>
        </w:rPr>
        <w:t>一般公共服务（类）</w:t>
      </w:r>
      <w:r>
        <w:rPr>
          <w:rStyle w:val="14"/>
          <w:rFonts w:hint="eastAsia" w:ascii="仿宋" w:hAnsi="仿宋" w:eastAsia="仿宋"/>
          <w:bCs/>
          <w:color w:val="auto"/>
          <w:sz w:val="32"/>
          <w:szCs w:val="32"/>
          <w:highlight w:val="none"/>
          <w:lang w:val="en-US" w:eastAsia="zh-CN"/>
        </w:rPr>
        <w:t>07</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21.52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val="en-US" w:eastAsia="zh-CN"/>
        </w:rPr>
        <w:t>.</w:t>
      </w:r>
    </w:p>
    <w:p>
      <w:pPr>
        <w:numPr>
          <w:ilvl w:val="0"/>
          <w:numId w:val="3"/>
        </w:num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教育（类）</w:t>
      </w:r>
      <w:r>
        <w:rPr>
          <w:rStyle w:val="14"/>
          <w:rFonts w:hint="eastAsia" w:ascii="仿宋" w:hAnsi="仿宋" w:eastAsia="仿宋"/>
          <w:bCs/>
          <w:color w:val="auto"/>
          <w:sz w:val="32"/>
          <w:szCs w:val="32"/>
          <w:highlight w:val="none"/>
          <w:lang w:val="en-US" w:eastAsia="zh-CN"/>
        </w:rPr>
        <w:t>08</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03</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73.03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98.68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lang w:eastAsia="zh-CN"/>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培训次数减少</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1134.47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98.32</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r>
        <w:rPr>
          <w:rStyle w:val="14"/>
          <w:rFonts w:hint="eastAsia" w:ascii="仿宋" w:hAnsi="仿宋" w:eastAsia="仿宋"/>
          <w:b w:val="0"/>
          <w:bCs/>
          <w:color w:val="auto"/>
          <w:sz w:val="32"/>
          <w:szCs w:val="32"/>
          <w:highlight w:val="none"/>
          <w:lang w:eastAsia="zh-CN"/>
        </w:rPr>
        <w:t>离休人员减少</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5</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888.22</w:t>
      </w:r>
      <w:r>
        <w:rPr>
          <w:rStyle w:val="14"/>
          <w:rFonts w:hint="eastAsia" w:ascii="仿宋" w:hAnsi="仿宋" w:eastAsia="仿宋"/>
          <w:b w:val="0"/>
          <w:bCs/>
          <w:color w:val="auto"/>
          <w:sz w:val="32"/>
          <w:szCs w:val="32"/>
          <w:highlight w:val="none"/>
        </w:rPr>
        <w:t>万元，</w:t>
      </w:r>
      <w:r>
        <w:rPr>
          <w:rStyle w:val="14"/>
          <w:rFonts w:hint="eastAsia" w:ascii="仿宋" w:hAnsi="仿宋" w:eastAsia="仿宋"/>
          <w:b w:val="0"/>
          <w:bCs/>
          <w:color w:val="auto"/>
          <w:sz w:val="32"/>
          <w:szCs w:val="32"/>
          <w:highlight w:val="none"/>
          <w:lang w:val="en-US" w:eastAsia="zh-CN"/>
        </w:rPr>
        <w:t>98.32</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r>
        <w:rPr>
          <w:rStyle w:val="14"/>
          <w:rFonts w:hint="eastAsia" w:ascii="仿宋" w:hAnsi="仿宋" w:eastAsia="仿宋"/>
          <w:b w:val="0"/>
          <w:bCs/>
          <w:color w:val="auto"/>
          <w:sz w:val="32"/>
          <w:szCs w:val="32"/>
          <w:highlight w:val="none"/>
          <w:lang w:eastAsia="zh-CN"/>
        </w:rPr>
        <w:t>离休人员减少</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6</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05</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06</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91.19</w:t>
      </w:r>
      <w:r>
        <w:rPr>
          <w:rStyle w:val="14"/>
          <w:rFonts w:hint="eastAsia" w:ascii="仿宋" w:hAnsi="仿宋" w:eastAsia="仿宋"/>
          <w:b w:val="0"/>
          <w:bCs/>
          <w:color w:val="auto"/>
          <w:sz w:val="32"/>
          <w:szCs w:val="32"/>
          <w:highlight w:val="none"/>
        </w:rPr>
        <w:t>万元，</w:t>
      </w:r>
      <w:r>
        <w:rPr>
          <w:rStyle w:val="14"/>
          <w:rFonts w:hint="eastAsia" w:ascii="仿宋" w:hAnsi="仿宋" w:eastAsia="仿宋"/>
          <w:b w:val="0"/>
          <w:bCs/>
          <w:color w:val="auto"/>
          <w:sz w:val="32"/>
          <w:szCs w:val="32"/>
          <w:highlight w:val="none"/>
          <w:lang w:val="en-US" w:eastAsia="zh-CN"/>
        </w:rPr>
        <w:t>98.32</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r>
        <w:rPr>
          <w:rStyle w:val="14"/>
          <w:rFonts w:hint="eastAsia" w:ascii="仿宋" w:hAnsi="仿宋" w:eastAsia="仿宋"/>
          <w:b w:val="0"/>
          <w:bCs/>
          <w:color w:val="auto"/>
          <w:sz w:val="32"/>
          <w:szCs w:val="32"/>
          <w:highlight w:val="none"/>
          <w:lang w:eastAsia="zh-CN"/>
        </w:rPr>
        <w:t>离休人员减少</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08</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186.41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08</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w:t>
      </w:r>
      <w:r>
        <w:rPr>
          <w:rStyle w:val="14"/>
          <w:rFonts w:hint="eastAsia" w:ascii="仿宋" w:hAnsi="仿宋" w:eastAsia="仿宋"/>
          <w:bCs/>
          <w:color w:val="auto"/>
          <w:sz w:val="32"/>
          <w:szCs w:val="32"/>
          <w:highlight w:val="none"/>
          <w:lang w:val="en-US" w:eastAsia="zh-CN"/>
        </w:rPr>
        <w:t>08</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99</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36.08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val="en-US" w:eastAsia="zh-CN"/>
        </w:rPr>
        <w:t>04</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09</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89.12</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98.14</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w:t>
      </w:r>
      <w:r>
        <w:rPr>
          <w:rStyle w:val="14"/>
          <w:rFonts w:hint="eastAsia" w:ascii="仿宋" w:hAnsi="仿宋" w:eastAsia="仿宋"/>
          <w:b w:val="0"/>
          <w:bCs/>
          <w:color w:val="auto"/>
          <w:sz w:val="32"/>
          <w:szCs w:val="32"/>
          <w:highlight w:val="none"/>
          <w:lang w:eastAsia="zh-CN"/>
        </w:rPr>
        <w:t>涉密</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val="en-US" w:eastAsia="zh-CN"/>
        </w:rPr>
        <w:t>11</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704.31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98.14</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人员调出</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val="en-US" w:eastAsia="zh-CN"/>
        </w:rPr>
        <w:t>11</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03</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174.43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98.14</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人员调出</w:t>
      </w:r>
      <w:r>
        <w:rPr>
          <w:rStyle w:val="14"/>
          <w:rFonts w:hint="eastAsia" w:ascii="仿宋" w:hAnsi="仿宋" w:eastAsia="仿宋"/>
          <w:b w:val="0"/>
          <w:bCs/>
          <w:color w:val="auto"/>
          <w:sz w:val="32"/>
          <w:szCs w:val="32"/>
          <w:highlight w:val="none"/>
        </w:rPr>
        <w:t>。</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lang w:eastAsia="zh-CN"/>
        </w:rPr>
        <w:t>住房保障支出</w:t>
      </w:r>
      <w:r>
        <w:rPr>
          <w:rStyle w:val="14"/>
          <w:rFonts w:hint="eastAsia" w:ascii="仿宋" w:hAnsi="仿宋" w:eastAsia="仿宋"/>
          <w:bCs/>
          <w:color w:val="auto"/>
          <w:sz w:val="32"/>
          <w:szCs w:val="32"/>
          <w:highlight w:val="none"/>
        </w:rPr>
        <w:t>（类）</w:t>
      </w:r>
      <w:r>
        <w:rPr>
          <w:rStyle w:val="14"/>
          <w:rFonts w:hint="eastAsia" w:ascii="仿宋" w:hAnsi="仿宋" w:eastAsia="仿宋"/>
          <w:bCs/>
          <w:color w:val="auto"/>
          <w:sz w:val="32"/>
          <w:szCs w:val="32"/>
          <w:highlight w:val="none"/>
          <w:lang w:val="en-US" w:eastAsia="zh-CN"/>
        </w:rPr>
        <w:t>02</w:t>
      </w:r>
      <w:r>
        <w:rPr>
          <w:rStyle w:val="14"/>
          <w:rFonts w:hint="eastAsia" w:ascii="仿宋" w:hAnsi="仿宋" w:eastAsia="仿宋"/>
          <w:bCs/>
          <w:color w:val="auto"/>
          <w:sz w:val="32"/>
          <w:szCs w:val="32"/>
          <w:highlight w:val="none"/>
        </w:rPr>
        <w:t>（款）</w:t>
      </w:r>
      <w:r>
        <w:rPr>
          <w:rStyle w:val="14"/>
          <w:rFonts w:hint="eastAsia" w:ascii="仿宋" w:hAnsi="仿宋" w:eastAsia="仿宋"/>
          <w:bCs/>
          <w:color w:val="auto"/>
          <w:sz w:val="32"/>
          <w:szCs w:val="32"/>
          <w:highlight w:val="none"/>
          <w:lang w:val="en-US" w:eastAsia="zh-CN"/>
        </w:rPr>
        <w:t>01</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897.75</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pStyle w:val="2"/>
      </w:pPr>
    </w:p>
    <w:p>
      <w:pPr>
        <w:pStyle w:val="2"/>
      </w:pP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本单位涉及的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8"/>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8"/>
          <w:rFonts w:hint="eastAsia" w:ascii="黑体" w:hAnsi="黑体" w:eastAsia="黑体"/>
          <w:b w:val="0"/>
          <w:color w:val="auto"/>
          <w:highlight w:val="none"/>
        </w:rPr>
        <w:t>般公共预算财政拨款基本支出决算情况说明</w:t>
      </w:r>
      <w:bookmarkEnd w:id="34"/>
      <w:bookmarkEnd w:id="35"/>
      <w:r>
        <w:rPr>
          <w:rStyle w:val="28"/>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16352.76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14636.56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1716.20</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8"/>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8"/>
          <w:rFonts w:hint="eastAsia" w:ascii="黑体" w:hAnsi="黑体" w:eastAsia="黑体"/>
          <w:color w:val="auto"/>
          <w:highlight w:val="none"/>
        </w:rPr>
        <w:t>“</w:t>
      </w:r>
      <w:r>
        <w:rPr>
          <w:rStyle w:val="28"/>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60.02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89.58</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r>
        <w:rPr>
          <w:rFonts w:hint="eastAsia" w:ascii="仿宋" w:hAnsi="仿宋" w:eastAsia="仿宋"/>
          <w:color w:val="auto"/>
          <w:sz w:val="32"/>
          <w:szCs w:val="32"/>
          <w:highlight w:val="none"/>
          <w:lang w:eastAsia="zh-CN"/>
        </w:rPr>
        <w:t>严格控制三公经费支出</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（注：上述“预算”口径为调整预算数，包括</w:t>
      </w:r>
      <w:r>
        <w:rPr>
          <w:rFonts w:hint="eastAsia" w:ascii="仿宋" w:hAnsi="仿宋" w:eastAsia="仿宋"/>
          <w:b/>
          <w:color w:val="auto"/>
          <w:sz w:val="32"/>
          <w:szCs w:val="32"/>
          <w:highlight w:val="none"/>
          <w:lang w:eastAsia="zh-CN"/>
        </w:rPr>
        <w:t>一般公共预算和</w:t>
      </w:r>
      <w:r>
        <w:rPr>
          <w:rFonts w:hint="eastAsia" w:ascii="仿宋" w:hAnsi="仿宋" w:eastAsia="仿宋"/>
          <w:b/>
          <w:color w:val="auto"/>
          <w:sz w:val="32"/>
          <w:szCs w:val="32"/>
          <w:highlight w:val="none"/>
        </w:rPr>
        <w:t>政府性基金</w:t>
      </w:r>
      <w:r>
        <w:rPr>
          <w:rFonts w:hint="eastAsia" w:ascii="仿宋" w:hAnsi="仿宋" w:eastAsia="仿宋"/>
          <w:b/>
          <w:color w:val="auto"/>
          <w:sz w:val="32"/>
          <w:szCs w:val="32"/>
          <w:highlight w:val="none"/>
          <w:lang w:eastAsia="zh-CN"/>
        </w:rPr>
        <w:t>预算财政拨款</w:t>
      </w:r>
      <w:r>
        <w:rPr>
          <w:rFonts w:hint="eastAsia" w:ascii="仿宋" w:hAnsi="仿宋" w:eastAsia="仿宋"/>
          <w:b/>
          <w:color w:val="auto"/>
          <w:sz w:val="32"/>
          <w:szCs w:val="32"/>
          <w:highlight w:val="none"/>
        </w:rPr>
        <w:t>支出决算情况。）</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54.03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90.02</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5.99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9.98</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1</w:t>
      </w:r>
      <w:r>
        <w:rPr>
          <w:rFonts w:ascii="仿宋_GB2312" w:eastAsia="仿宋_GB2312"/>
          <w:b/>
          <w:color w:val="auto"/>
          <w:sz w:val="32"/>
          <w:szCs w:val="32"/>
          <w:highlight w:val="none"/>
        </w:rPr>
        <w:t>.</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54.03</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90.05</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36.44</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40.28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严格控制公务用车出行</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54.03</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工作出行、</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5.99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85.57</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1.78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22.9</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严格控制公务接待</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5.99</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98</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399</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5.99</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工作餐</w:t>
      </w:r>
      <w:r>
        <w:rPr>
          <w:rFonts w:hint="eastAsia" w:ascii="仿宋_GB2312" w:eastAsia="仿宋_GB2312"/>
          <w:color w:val="auto"/>
          <w:sz w:val="32"/>
          <w:szCs w:val="32"/>
          <w:highlight w:val="none"/>
          <w:lang w:val="en-US" w:eastAsia="zh-CN"/>
        </w:rPr>
        <w:t>5.99万元</w:t>
      </w:r>
      <w:r>
        <w:rPr>
          <w:rFonts w:hint="eastAsia" w:ascii="仿宋_GB2312" w:eastAsia="仿宋_GB2312"/>
          <w:color w:val="auto"/>
          <w:sz w:val="32"/>
          <w:szCs w:val="32"/>
          <w:highlight w:val="none"/>
        </w:rPr>
        <w:t>。</w:t>
      </w:r>
    </w:p>
    <w:p>
      <w:pPr>
        <w:spacing w:line="600" w:lineRule="exact"/>
        <w:ind w:firstLine="640"/>
        <w:outlineLvl w:val="1"/>
        <w:rPr>
          <w:rStyle w:val="28"/>
          <w:rFonts w:ascii="黑体" w:hAnsi="黑体" w:eastAsia="黑体"/>
          <w:color w:val="auto"/>
          <w:highlight w:val="none"/>
        </w:rPr>
      </w:pPr>
      <w:bookmarkStart w:id="40" w:name="_Toc15396610"/>
      <w:bookmarkStart w:id="41" w:name="_Toc15377218"/>
      <w:r>
        <w:rPr>
          <w:rFonts w:hint="eastAsia" w:ascii="黑体" w:eastAsia="黑体"/>
          <w:color w:val="auto"/>
          <w:sz w:val="32"/>
          <w:szCs w:val="32"/>
          <w:highlight w:val="none"/>
        </w:rPr>
        <w:t>八、</w:t>
      </w:r>
      <w:r>
        <w:rPr>
          <w:rStyle w:val="28"/>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t>无</w:t>
      </w:r>
    </w:p>
    <w:p>
      <w:pPr>
        <w:numPr>
          <w:ilvl w:val="0"/>
          <w:numId w:val="4"/>
        </w:numPr>
        <w:spacing w:line="600" w:lineRule="exact"/>
        <w:ind w:firstLine="640"/>
        <w:outlineLvl w:val="1"/>
        <w:rPr>
          <w:rStyle w:val="28"/>
          <w:rFonts w:ascii="黑体" w:hAnsi="黑体" w:eastAsia="黑体"/>
          <w:b w:val="0"/>
          <w:color w:val="auto"/>
          <w:highlight w:val="none"/>
        </w:rPr>
      </w:pPr>
      <w:bookmarkStart w:id="42" w:name="_Toc15377219"/>
      <w:bookmarkStart w:id="43" w:name="_Toc15396611"/>
      <w:r>
        <w:rPr>
          <w:rStyle w:val="28"/>
          <w:rFonts w:hint="eastAsia" w:ascii="黑体" w:hAnsi="黑体" w:eastAsia="黑体"/>
          <w:b w:val="0"/>
          <w:color w:val="auto"/>
          <w:highlight w:val="none"/>
        </w:rPr>
        <w:t>国有资本经营预算支出决算情况说明</w:t>
      </w:r>
      <w:bookmarkEnd w:id="42"/>
      <w:bookmarkEnd w:id="43"/>
    </w:p>
    <w:p>
      <w:pPr>
        <w:spacing w:line="580" w:lineRule="exact"/>
        <w:jc w:val="center"/>
        <w:rPr>
          <w:rFonts w:hint="eastAsia" w:ascii="方正小标宋简体" w:hAnsi="方正小标宋简体" w:eastAsia="方正小标宋简体" w:cs="方正小标宋简体"/>
          <w:color w:val="auto"/>
          <w:sz w:val="44"/>
          <w:szCs w:val="44"/>
          <w:highlight w:val="none"/>
          <w:lang w:eastAsia="zh-CN"/>
        </w:rPr>
      </w:pPr>
      <w:r>
        <w:rPr>
          <w:rFonts w:hint="eastAsia" w:ascii="仿宋_GB2312" w:eastAsia="仿宋_GB2312"/>
          <w:color w:val="auto"/>
          <w:sz w:val="32"/>
          <w:szCs w:val="32"/>
          <w:highlight w:val="none"/>
          <w:lang w:eastAsia="zh-CN"/>
        </w:rPr>
        <w:t>无</w:t>
      </w:r>
    </w:p>
    <w:p>
      <w:pPr>
        <w:numPr>
          <w:ilvl w:val="0"/>
          <w:numId w:val="4"/>
        </w:numPr>
        <w:spacing w:line="600" w:lineRule="exact"/>
        <w:ind w:firstLine="640"/>
        <w:outlineLvl w:val="1"/>
        <w:rPr>
          <w:rStyle w:val="28"/>
          <w:rFonts w:hint="eastAsia" w:ascii="黑体" w:hAnsi="黑体" w:eastAsia="黑体"/>
          <w:b w:val="0"/>
          <w:color w:val="auto"/>
          <w:highlight w:val="none"/>
        </w:rPr>
      </w:pPr>
      <w:bookmarkStart w:id="44" w:name="_Toc15396612"/>
      <w:bookmarkStart w:id="45" w:name="_Toc15377221"/>
      <w:r>
        <w:rPr>
          <w:rStyle w:val="28"/>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四川省荞窝监狱</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1716.19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63.54</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3.84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在职民警增加。</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四川省荞窝监狱</w:t>
      </w:r>
      <w:bookmarkStart w:id="67" w:name="_GoBack"/>
      <w:bookmarkEnd w:id="67"/>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883.6</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766.52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69.06</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48.02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涉密工作</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766.52</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86.75</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766.52</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86.75</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日，共有车辆</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决算报表填报数据罗列车辆情况。）</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autoSpaceDE w:val="0"/>
        <w:autoSpaceDN w:val="0"/>
        <w:adjustRightInd w:val="0"/>
        <w:spacing w:line="600" w:lineRule="exact"/>
        <w:ind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eastAsia="仿宋_GB2312"/>
          <w:sz w:val="32"/>
          <w:szCs w:val="32"/>
        </w:rPr>
        <w:t>四川省荞窝</w:t>
      </w:r>
      <w:r>
        <w:rPr>
          <w:rFonts w:hint="eastAsia" w:ascii="仿宋_GB2312" w:hAnsi="仿宋_GB2312" w:eastAsia="仿宋_GB2312" w:cs="仿宋_GB2312"/>
          <w:sz w:val="32"/>
          <w:szCs w:val="32"/>
        </w:rPr>
        <w:t>监狱的项目按要求完成了绩效目标，因项目内容涉密（敏感），不予主动公开。</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7"/>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7"/>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17"/>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17"/>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公共安全（类）（类）</w:t>
      </w:r>
      <w:r>
        <w:rPr>
          <w:rFonts w:hint="eastAsia" w:ascii="仿宋_GB2312" w:eastAsia="仿宋_GB2312"/>
          <w:color w:val="auto"/>
          <w:sz w:val="32"/>
          <w:szCs w:val="32"/>
          <w:highlight w:val="none"/>
          <w:lang w:val="en-US" w:eastAsia="zh-CN"/>
        </w:rPr>
        <w:t>07</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行政运行</w:t>
      </w:r>
      <w:r>
        <w:rPr>
          <w:rFonts w:hint="eastAsia" w:ascii="仿宋_GB2312" w:eastAsia="仿宋_GB2312"/>
          <w:color w:val="auto"/>
          <w:sz w:val="32"/>
          <w:szCs w:val="32"/>
          <w:highlight w:val="none"/>
        </w:rPr>
        <w:t>。</w:t>
      </w:r>
    </w:p>
    <w:p>
      <w:pPr>
        <w:ind w:firstLine="640" w:firstLineChars="200"/>
      </w:pPr>
      <w:r>
        <w:rPr>
          <w:rFonts w:hint="eastAsia" w:ascii="仿宋_GB2312" w:eastAsia="仿宋_GB2312"/>
          <w:color w:val="auto"/>
          <w:sz w:val="32"/>
          <w:szCs w:val="32"/>
          <w:highlight w:val="none"/>
          <w:lang w:val="en-US" w:eastAsia="zh-CN"/>
        </w:rPr>
        <w:t>10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公共安全（类）（类）</w:t>
      </w:r>
      <w:r>
        <w:rPr>
          <w:rFonts w:hint="eastAsia" w:ascii="仿宋_GB2312" w:eastAsia="仿宋_GB2312"/>
          <w:color w:val="auto"/>
          <w:sz w:val="32"/>
          <w:szCs w:val="32"/>
          <w:highlight w:val="none"/>
          <w:lang w:val="en-US" w:eastAsia="zh-CN"/>
        </w:rPr>
        <w:t>07</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一般行政事务管理</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教育（类）</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培训支出</w:t>
      </w: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行政单位离退休</w:t>
      </w:r>
      <w:r>
        <w:rPr>
          <w:rFonts w:hint="eastAsia" w:ascii="仿宋_GB2312" w:eastAsia="仿宋_GB2312"/>
          <w:color w:val="auto"/>
          <w:sz w:val="32"/>
          <w:szCs w:val="32"/>
          <w:highlight w:val="none"/>
        </w:rPr>
        <w:t>。</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行政单位离退休</w:t>
      </w:r>
      <w:r>
        <w:rPr>
          <w:rFonts w:hint="eastAsia" w:ascii="仿宋_GB2312" w:eastAsia="仿宋_GB2312"/>
          <w:color w:val="auto"/>
          <w:sz w:val="32"/>
          <w:szCs w:val="32"/>
          <w:highlight w:val="none"/>
        </w:rPr>
        <w:t>机关事业单位基本养老保险缴费支出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06</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行政单位离退休</w:t>
      </w:r>
      <w:r>
        <w:rPr>
          <w:rFonts w:hint="eastAsia" w:ascii="仿宋_GB2312" w:eastAsia="仿宋_GB2312"/>
          <w:color w:val="auto"/>
          <w:sz w:val="32"/>
          <w:szCs w:val="32"/>
          <w:highlight w:val="none"/>
        </w:rPr>
        <w:t>机关事业单位职业年金缴费支出</w:t>
      </w:r>
      <w:r>
        <w:rPr>
          <w:rFonts w:hint="eastAsia" w:ascii="仿宋_GB2312" w:eastAsia="仿宋_GB2312"/>
          <w:color w:val="auto"/>
          <w:sz w:val="32"/>
          <w:szCs w:val="32"/>
          <w:highlight w:val="none"/>
          <w:lang w:eastAsia="zh-CN"/>
        </w:rPr>
        <w:t>。</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死亡抚恤。</w:t>
      </w:r>
    </w:p>
    <w:p>
      <w:pPr>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02</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伤残抚恤。</w:t>
      </w:r>
    </w:p>
    <w:p>
      <w:pPr>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6</w:t>
      </w:r>
      <w:r>
        <w:rPr>
          <w:rFonts w:ascii="仿宋_GB2312" w:eastAsia="仿宋_GB2312"/>
          <w:color w:val="auto"/>
          <w:sz w:val="32"/>
          <w:szCs w:val="32"/>
          <w:highlight w:val="none"/>
        </w:rPr>
        <w:t>.</w:t>
      </w:r>
      <w:r>
        <w:rPr>
          <w:rFonts w:hint="eastAsia" w:ascii="仿宋_GB2312" w:eastAsia="仿宋_GB2312"/>
          <w:color w:val="auto"/>
          <w:sz w:val="32"/>
          <w:szCs w:val="32"/>
          <w:highlight w:val="none"/>
        </w:rPr>
        <w:t>社会保障和就业（类）</w:t>
      </w:r>
      <w:r>
        <w:rPr>
          <w:rFonts w:hint="eastAsia" w:ascii="仿宋_GB2312" w:eastAsia="仿宋_GB2312"/>
          <w:color w:val="auto"/>
          <w:sz w:val="32"/>
          <w:szCs w:val="32"/>
          <w:highlight w:val="none"/>
          <w:lang w:val="en-US" w:eastAsia="zh-CN"/>
        </w:rPr>
        <w:t>08</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09</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 xml:space="preserve"> 其他社会保障和就业支出。</w:t>
      </w:r>
    </w:p>
    <w:p>
      <w:pPr>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7</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医疗卫生与计划生育（类）</w:t>
      </w:r>
      <w:r>
        <w:rPr>
          <w:rFonts w:hint="eastAsia" w:ascii="仿宋_GB2312" w:eastAsia="仿宋_GB2312"/>
          <w:color w:val="auto"/>
          <w:sz w:val="32"/>
          <w:szCs w:val="32"/>
          <w:highlight w:val="none"/>
          <w:lang w:val="en-US" w:eastAsia="zh-CN"/>
        </w:rPr>
        <w:t>04</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09</w:t>
      </w:r>
      <w:r>
        <w:rPr>
          <w:rFonts w:hint="eastAsia" w:ascii="仿宋_GB2312" w:eastAsia="仿宋_GB2312"/>
          <w:color w:val="auto"/>
          <w:sz w:val="32"/>
          <w:szCs w:val="32"/>
          <w:highlight w:val="none"/>
        </w:rPr>
        <w:t>（项）：指重大公共卫生服务。</w:t>
      </w:r>
    </w:p>
    <w:p>
      <w:pPr>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医疗卫生与计划生育（类）</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行政单位医疗。</w:t>
      </w:r>
    </w:p>
    <w:p>
      <w:pPr>
        <w:ind w:firstLine="640" w:firstLineChars="200"/>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w:t>
      </w:r>
      <w:r>
        <w:rPr>
          <w:rFonts w:hint="eastAsia" w:ascii="仿宋_GB2312" w:eastAsia="仿宋_GB2312"/>
          <w:color w:val="auto"/>
          <w:sz w:val="32"/>
          <w:szCs w:val="32"/>
          <w:highlight w:val="none"/>
        </w:rPr>
        <w:t>医疗卫生与计划生育（类）</w:t>
      </w:r>
      <w:r>
        <w:rPr>
          <w:rFonts w:hint="eastAsia" w:ascii="仿宋_GB2312" w:eastAsia="仿宋_GB2312"/>
          <w:color w:val="auto"/>
          <w:sz w:val="32"/>
          <w:szCs w:val="32"/>
          <w:highlight w:val="none"/>
          <w:lang w:val="en-US" w:eastAsia="zh-CN"/>
        </w:rPr>
        <w:t>11</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03</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公务员医疗补助。</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住房保障（类）</w:t>
      </w:r>
      <w:r>
        <w:rPr>
          <w:rFonts w:hint="eastAsia" w:ascii="仿宋_GB2312" w:eastAsia="仿宋_GB2312"/>
          <w:color w:val="auto"/>
          <w:sz w:val="32"/>
          <w:szCs w:val="32"/>
          <w:highlight w:val="none"/>
          <w:lang w:val="en-US" w:eastAsia="zh-CN"/>
        </w:rPr>
        <w:t>02</w:t>
      </w:r>
      <w:r>
        <w:rPr>
          <w:rFonts w:hint="eastAsia" w:ascii="仿宋_GB2312" w:eastAsia="仿宋_GB2312"/>
          <w:color w:val="auto"/>
          <w:sz w:val="32"/>
          <w:szCs w:val="32"/>
          <w:highlight w:val="none"/>
        </w:rPr>
        <w:t>（款）</w:t>
      </w:r>
      <w:r>
        <w:rPr>
          <w:rFonts w:hint="eastAsia" w:ascii="仿宋_GB2312" w:eastAsia="仿宋_GB2312"/>
          <w:color w:val="auto"/>
          <w:sz w:val="32"/>
          <w:szCs w:val="32"/>
          <w:highlight w:val="none"/>
          <w:lang w:val="en-US" w:eastAsia="zh-CN"/>
        </w:rPr>
        <w:t>01</w:t>
      </w:r>
      <w:r>
        <w:rPr>
          <w:rFonts w:hint="eastAsia" w:ascii="仿宋_GB2312" w:eastAsia="仿宋_GB2312"/>
          <w:color w:val="auto"/>
          <w:sz w:val="32"/>
          <w:szCs w:val="32"/>
          <w:highlight w:val="none"/>
        </w:rPr>
        <w:t>（项）：指</w:t>
      </w:r>
      <w:r>
        <w:rPr>
          <w:rFonts w:hint="eastAsia" w:ascii="仿宋_GB2312" w:eastAsia="仿宋_GB2312"/>
          <w:color w:val="auto"/>
          <w:sz w:val="32"/>
          <w:szCs w:val="32"/>
          <w:highlight w:val="none"/>
          <w:lang w:eastAsia="zh-CN"/>
        </w:rPr>
        <w:t>住房公积金</w:t>
      </w: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实际列支情况罗列，并根据本</w:t>
      </w:r>
      <w:r>
        <w:rPr>
          <w:rFonts w:hint="eastAsia" w:ascii="仿宋" w:hAnsi="仿宋" w:eastAsia="仿宋"/>
          <w:b/>
          <w:color w:val="auto"/>
          <w:sz w:val="32"/>
          <w:szCs w:val="32"/>
          <w:highlight w:val="none"/>
          <w:lang w:eastAsia="zh-CN"/>
        </w:rPr>
        <w:t>单位</w:t>
      </w:r>
      <w:r>
        <w:rPr>
          <w:rFonts w:hint="eastAsia" w:ascii="仿宋" w:hAnsi="仿宋" w:eastAsia="仿宋"/>
          <w:b/>
          <w:color w:val="auto"/>
          <w:sz w:val="32"/>
          <w:szCs w:val="32"/>
          <w:highlight w:val="none"/>
        </w:rPr>
        <w:t>职责职能增减名词解释内容。）</w:t>
      </w:r>
    </w:p>
    <w:p>
      <w:pPr>
        <w:spacing w:line="600" w:lineRule="exact"/>
        <w:jc w:val="center"/>
        <w:outlineLvl w:val="0"/>
        <w:rPr>
          <w:rStyle w:val="27"/>
          <w:rFonts w:ascii="黑体" w:hAnsi="黑体" w:eastAsia="黑体"/>
          <w:b w:val="0"/>
          <w:color w:val="auto"/>
          <w:highlight w:val="none"/>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四部分 附件</w:t>
      </w:r>
      <w:bookmarkEnd w:id="52"/>
    </w:p>
    <w:p>
      <w:pPr>
        <w:wordWrap/>
        <w:spacing w:line="572" w:lineRule="exact"/>
        <w:jc w:val="left"/>
        <w:textAlignment w:val="auto"/>
        <w:outlineLvl w:val="0"/>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附件</w:t>
      </w:r>
    </w:p>
    <w:tbl>
      <w:tblPr>
        <w:tblpPr w:leftFromText="180" w:rightFromText="180" w:vertAnchor="text" w:horzAnchor="page" w:tblpX="1281" w:tblpY="660"/>
        <w:tblOverlap w:val="never"/>
        <w:tblW w:w="98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vAlign w:val="center"/>
          </w:tcPr>
          <w:p>
            <w:pPr>
              <w:widowControl/>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vAlign w:val="center"/>
          </w:tcPr>
          <w:p>
            <w:pPr>
              <w:widowControl/>
              <w:jc w:val="center"/>
              <w:textAlignment w:val="center"/>
              <w:rPr>
                <w:rFonts w:hint="eastAsia" w:ascii="宋体" w:hAnsi="宋体" w:eastAsia="宋体" w:cs="宋体"/>
                <w:b/>
                <w:i w:val="0"/>
                <w:color w:val="auto"/>
                <w:kern w:val="0"/>
                <w:sz w:val="32"/>
                <w:szCs w:val="3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实施单位</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项目预算</w:t>
            </w:r>
            <w:r>
              <w:rPr>
                <w:rFonts w:hint="eastAsia" w:ascii="宋体" w:hAnsi="宋体" w:eastAsia="宋体" w:cs="宋体"/>
                <w:i w:val="0"/>
                <w:color w:val="auto"/>
                <w:kern w:val="0"/>
                <w:sz w:val="24"/>
                <w:szCs w:val="24"/>
                <w:u w:val="none"/>
                <w:lang w:val="en-US" w:eastAsia="zh-CN"/>
              </w:rPr>
              <w:br/>
            </w:r>
            <w:r>
              <w:rPr>
                <w:rFonts w:hint="eastAsia" w:ascii="宋体" w:hAnsi="宋体" w:eastAsia="宋体" w:cs="宋体"/>
                <w:i w:val="0"/>
                <w:color w:val="auto"/>
                <w:kern w:val="0"/>
                <w:sz w:val="24"/>
                <w:szCs w:val="24"/>
                <w:u w:val="none"/>
                <w:lang w:val="en-US" w:eastAsia="zh-CN"/>
              </w:rPr>
              <w:t>执行情况</w:t>
            </w:r>
            <w:r>
              <w:rPr>
                <w:rFonts w:hint="eastAsia" w:ascii="宋体" w:hAnsi="宋体" w:eastAsia="宋体" w:cs="宋体"/>
                <w:i w:val="0"/>
                <w:color w:val="auto"/>
                <w:kern w:val="0"/>
                <w:sz w:val="24"/>
                <w:szCs w:val="24"/>
                <w:u w:val="none"/>
                <w:lang w:val="en-US" w:eastAsia="zh-CN"/>
              </w:rPr>
              <w:br/>
            </w:r>
            <w:r>
              <w:rPr>
                <w:rFonts w:hint="eastAsia" w:ascii="宋体" w:hAnsi="宋体" w:eastAsia="宋体" w:cs="宋体"/>
                <w:i w:val="0"/>
                <w:color w:val="auto"/>
                <w:kern w:val="0"/>
                <w:sz w:val="24"/>
                <w:szCs w:val="24"/>
                <w:u w:val="none"/>
                <w:lang w:val="en-US" w:eastAsia="zh-CN"/>
              </w:rPr>
              <w:t>（万元）</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 xml:space="preserve"> 预算数：</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 xml:space="preserve"> 执行数：</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其中：</w:t>
            </w:r>
          </w:p>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财政拨款</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其中：</w:t>
            </w:r>
          </w:p>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财政拨款</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其他资金</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其他资金</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rPr>
            </w:pPr>
            <w:r>
              <w:rPr>
                <w:rFonts w:hint="eastAsia" w:ascii="宋体" w:hAnsi="宋体" w:eastAsia="宋体" w:cs="宋体"/>
                <w:i w:val="0"/>
                <w:color w:val="auto"/>
                <w:kern w:val="0"/>
                <w:sz w:val="24"/>
                <w:szCs w:val="24"/>
                <w:u w:val="none"/>
                <w:lang w:val="en-US" w:eastAsia="zh-CN"/>
              </w:rPr>
              <w:t>年度总体目标</w:t>
            </w:r>
          </w:p>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完成情况</w:t>
            </w:r>
          </w:p>
        </w:tc>
        <w:tc>
          <w:tcPr>
            <w:tcW w:w="3966" w:type="dxa"/>
            <w:gridSpan w:val="3"/>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预期目标</w:t>
            </w:r>
          </w:p>
        </w:tc>
        <w:tc>
          <w:tcPr>
            <w:tcW w:w="3634" w:type="dxa"/>
            <w:gridSpan w:val="2"/>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vAlign w:val="top"/>
          </w:tcPr>
          <w:p>
            <w:pPr>
              <w:widowControl/>
              <w:wordWrap/>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vAlign w:val="top"/>
          </w:tcPr>
          <w:p>
            <w:pPr>
              <w:widowControl/>
              <w:wordWrap/>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年度绩效指标完成情况</w:t>
            </w:r>
          </w:p>
        </w:tc>
        <w:tc>
          <w:tcPr>
            <w:tcW w:w="1142" w:type="dxa"/>
            <w:tcBorders>
              <w:top w:val="single" w:color="000000" w:sz="4" w:space="0"/>
              <w:left w:val="nil"/>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rPr>
            </w:pPr>
            <w:r>
              <w:rPr>
                <w:rFonts w:hint="eastAsia" w:ascii="仿宋_GB2312" w:hAnsi="仿宋_GB2312" w:eastAsia="仿宋_GB2312" w:cs="仿宋_GB2312"/>
                <w:i w:val="0"/>
                <w:color w:val="auto"/>
                <w:kern w:val="0"/>
                <w:sz w:val="28"/>
                <w:szCs w:val="28"/>
                <w:u w:val="none"/>
                <w:lang w:val="en-US" w:eastAsia="zh-CN"/>
              </w:rPr>
              <w:t>一级</w:t>
            </w:r>
          </w:p>
          <w:p>
            <w:pPr>
              <w:widowControl/>
              <w:wordWrap/>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rPr>
            </w:pPr>
            <w:r>
              <w:rPr>
                <w:rFonts w:hint="eastAsia" w:ascii="仿宋_GB2312" w:hAnsi="仿宋_GB2312" w:eastAsia="仿宋_GB2312" w:cs="仿宋_GB2312"/>
                <w:i w:val="0"/>
                <w:color w:val="auto"/>
                <w:kern w:val="0"/>
                <w:sz w:val="28"/>
                <w:szCs w:val="28"/>
                <w:u w:val="none"/>
                <w:lang w:val="en-US" w:eastAsia="zh-CN"/>
              </w:rPr>
              <w:t>二级</w:t>
            </w:r>
          </w:p>
          <w:p>
            <w:pPr>
              <w:widowControl/>
              <w:wordWrap/>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rPr>
            </w:pPr>
            <w:r>
              <w:rPr>
                <w:rFonts w:hint="eastAsia" w:ascii="仿宋_GB2312" w:hAnsi="仿宋_GB2312" w:eastAsia="仿宋_GB2312" w:cs="仿宋_GB2312"/>
                <w:i w:val="0"/>
                <w:color w:val="auto"/>
                <w:kern w:val="0"/>
                <w:sz w:val="28"/>
                <w:szCs w:val="28"/>
                <w:u w:val="none"/>
                <w:lang w:val="en-US" w:eastAsia="zh-CN"/>
              </w:rPr>
              <w:t>三级</w:t>
            </w:r>
          </w:p>
          <w:p>
            <w:pPr>
              <w:widowControl/>
              <w:wordWrap/>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指标</w:t>
            </w:r>
          </w:p>
        </w:tc>
        <w:tc>
          <w:tcPr>
            <w:tcW w:w="1224"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预期指标值</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rPr>
            </w:pPr>
            <w:r>
              <w:rPr>
                <w:rFonts w:hint="eastAsia" w:ascii="仿宋_GB2312" w:hAnsi="仿宋_GB2312" w:eastAsia="仿宋_GB2312" w:cs="仿宋_GB2312"/>
                <w:i w:val="0"/>
                <w:color w:val="auto"/>
                <w:kern w:val="0"/>
                <w:sz w:val="28"/>
                <w:szCs w:val="28"/>
                <w:u w:val="none"/>
                <w:lang w:val="en-US" w:eastAsia="zh-CN"/>
              </w:rPr>
              <w:t>完成</w:t>
            </w:r>
          </w:p>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数量指标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质量指标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时效指标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成本指标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效益</w:t>
            </w:r>
            <w:r>
              <w:rPr>
                <w:rFonts w:hint="eastAsia" w:ascii="仿宋_GB2312" w:hAnsi="仿宋_GB2312" w:eastAsia="仿宋_GB2312" w:cs="仿宋_GB2312"/>
                <w:i w:val="0"/>
                <w:color w:val="auto"/>
                <w:kern w:val="0"/>
                <w:sz w:val="28"/>
                <w:szCs w:val="28"/>
                <w:u w:val="none"/>
                <w:lang w:val="en-US" w:eastAsia="zh-CN"/>
              </w:rPr>
              <w:br/>
            </w:r>
            <w:r>
              <w:rPr>
                <w:rFonts w:hint="eastAsia" w:ascii="仿宋_GB2312" w:hAnsi="仿宋_GB2312" w:eastAsia="仿宋_GB2312" w:cs="仿宋_GB2312"/>
                <w:i w:val="0"/>
                <w:color w:val="auto"/>
                <w:kern w:val="0"/>
                <w:sz w:val="28"/>
                <w:szCs w:val="28"/>
                <w:u w:val="none"/>
                <w:lang w:val="en-US" w:eastAsia="zh-CN"/>
              </w:rPr>
              <w:t>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经济效益  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社会效益  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生态效益  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vAlign w:val="bottom"/>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可持续影响 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vAlign w:val="center"/>
          </w:tcPr>
          <w:p>
            <w:pPr>
              <w:wordWrap/>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满意</w:t>
            </w:r>
            <w:r>
              <w:rPr>
                <w:rFonts w:hint="eastAsia" w:ascii="仿宋_GB2312" w:hAnsi="仿宋_GB2312" w:eastAsia="仿宋_GB2312" w:cs="仿宋_GB2312"/>
                <w:i w:val="0"/>
                <w:color w:val="auto"/>
                <w:kern w:val="0"/>
                <w:sz w:val="28"/>
                <w:szCs w:val="28"/>
                <w:u w:val="none"/>
                <w:lang w:val="en-US" w:eastAsia="zh-CN"/>
              </w:rPr>
              <w:br/>
            </w:r>
            <w:r>
              <w:rPr>
                <w:rFonts w:hint="eastAsia" w:ascii="仿宋_GB2312" w:hAnsi="仿宋_GB2312" w:eastAsia="仿宋_GB2312" w:cs="仿宋_GB2312"/>
                <w:i w:val="0"/>
                <w:color w:val="auto"/>
                <w:kern w:val="0"/>
                <w:sz w:val="28"/>
                <w:szCs w:val="28"/>
                <w:u w:val="none"/>
                <w:lang w:val="en-US" w:eastAsia="zh-CN"/>
              </w:rPr>
              <w:t>度指标</w:t>
            </w:r>
          </w:p>
        </w:tc>
        <w:tc>
          <w:tcPr>
            <w:tcW w:w="1635"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rPr>
            </w:pPr>
            <w:r>
              <w:rPr>
                <w:rFonts w:hint="eastAsia" w:ascii="仿宋_GB2312" w:hAnsi="仿宋_GB2312" w:eastAsia="仿宋_GB2312" w:cs="仿宋_GB2312"/>
                <w:i w:val="0"/>
                <w:color w:val="auto"/>
                <w:kern w:val="0"/>
                <w:sz w:val="28"/>
                <w:szCs w:val="28"/>
                <w:u w:val="none"/>
                <w:lang w:val="en-US" w:eastAsia="zh-CN"/>
              </w:rPr>
              <w:t>满意度</w:t>
            </w:r>
          </w:p>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rPr>
              <w:t>指标</w:t>
            </w:r>
          </w:p>
        </w:tc>
        <w:tc>
          <w:tcPr>
            <w:tcW w:w="1189"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vAlign w:val="bottom"/>
          </w:tcPr>
          <w:p>
            <w:pPr>
              <w:widowControl/>
              <w:wordWrap/>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eastAsia="仿宋_GB2312"/>
          <w:sz w:val="32"/>
          <w:szCs w:val="32"/>
        </w:rPr>
        <w:t>四川省荞窝</w:t>
      </w:r>
      <w:r>
        <w:rPr>
          <w:rFonts w:hint="eastAsia" w:ascii="仿宋_GB2312" w:hAnsi="仿宋_GB2312" w:eastAsia="仿宋_GB2312" w:cs="仿宋_GB2312"/>
          <w:sz w:val="32"/>
          <w:szCs w:val="32"/>
        </w:rPr>
        <w:t>监狱的项目按要求完成了绩效目标，因项目内容涉密（敏感），不予主动公开。</w:t>
      </w:r>
    </w:p>
    <w:p>
      <w:pPr>
        <w:pStyle w:val="2"/>
        <w:rPr>
          <w:rFonts w:hint="eastAsi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7"/>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8"/>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8"/>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8"/>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8"/>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8"/>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政拨款收入支出决算总表</w:t>
      </w:r>
      <w:bookmarkEnd w:id="57"/>
    </w:p>
    <w:p>
      <w:pPr>
        <w:pStyle w:val="4"/>
        <w:rPr>
          <w:rStyle w:val="28"/>
          <w:rFonts w:ascii="仿宋" w:hAnsi="仿宋" w:eastAsia="仿宋"/>
          <w:b w:val="0"/>
          <w:bCs w:val="0"/>
          <w:color w:val="auto"/>
          <w:highlight w:val="none"/>
        </w:rPr>
      </w:pPr>
      <w:bookmarkStart w:id="58" w:name="_Toc15396623"/>
      <w:r>
        <w:rPr>
          <w:rStyle w:val="28"/>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8"/>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8"/>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8"/>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8"/>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8"/>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8"/>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8"/>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8"/>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8"/>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8"/>
          <w:rFonts w:hint="eastAsia" w:ascii="仿宋" w:hAnsi="仿宋" w:eastAsia="仿宋"/>
          <w:b w:val="0"/>
          <w:bCs w:val="0"/>
          <w:color w:val="auto"/>
          <w:highlight w:val="none"/>
        </w:rPr>
        <w:t>府性基金预算财政拨款“三公”经费支出决算表</w:t>
      </w:r>
      <w:bookmarkEnd w:id="65"/>
    </w:p>
    <w:p>
      <w:pPr>
        <w:pStyle w:val="4"/>
        <w:rPr>
          <w:rStyle w:val="28"/>
          <w:rFonts w:hint="eastAsia" w:ascii="仿宋" w:hAnsi="仿宋" w:eastAsia="仿宋"/>
          <w:b w:val="0"/>
          <w:bCs w:val="0"/>
          <w:color w:val="auto"/>
          <w:highlight w:val="none"/>
        </w:rPr>
      </w:pPr>
      <w:bookmarkStart w:id="66" w:name="_Toc15396631"/>
      <w:r>
        <w:rPr>
          <w:rStyle w:val="28"/>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8"/>
          <w:rFonts w:hint="eastAsia" w:ascii="仿宋" w:hAnsi="仿宋" w:eastAsia="仿宋"/>
          <w:b w:val="0"/>
          <w:bCs w:val="0"/>
          <w:color w:val="auto"/>
          <w:highlight w:val="none"/>
        </w:rPr>
        <w:t>有资本经营预算</w:t>
      </w:r>
      <w:r>
        <w:rPr>
          <w:rStyle w:val="28"/>
          <w:rFonts w:hint="eastAsia" w:ascii="仿宋" w:hAnsi="仿宋" w:eastAsia="仿宋"/>
          <w:b w:val="0"/>
          <w:bCs w:val="0"/>
          <w:color w:val="auto"/>
          <w:highlight w:val="none"/>
          <w:lang w:eastAsia="zh-CN"/>
        </w:rPr>
        <w:t>财政拨款收入</w:t>
      </w:r>
      <w:r>
        <w:rPr>
          <w:rStyle w:val="28"/>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8"/>
          <w:rFonts w:hint="eastAsia" w:ascii="仿宋" w:hAnsi="仿宋" w:eastAsia="仿宋"/>
          <w:b w:val="0"/>
          <w:bCs w:val="0"/>
          <w:color w:val="auto"/>
          <w:highlight w:val="none"/>
          <w:lang w:eastAsia="zh-CN"/>
        </w:rPr>
        <w:t>十四、国有资本经营预算财政拨款支出决算表</w:t>
      </w:r>
    </w:p>
    <w:sectPr>
      <w:headerReference r:id="rId4" w:type="default"/>
      <w:footerReference r:id="rId5"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PAGE   \* MERGEFORMAT</w:instrText>
    </w:r>
    <w:r>
      <w:fldChar w:fldCharType="separate"/>
    </w:r>
    <w:r>
      <w:rPr>
        <w:lang w:val="zh-CN"/>
      </w:rPr>
      <w:t>8</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261650">
    <w:nsid w:val="63141992"/>
    <w:multiLevelType w:val="singleLevel"/>
    <w:tmpl w:val="63141992"/>
    <w:lvl w:ilvl="0" w:tentative="1">
      <w:start w:val="1"/>
      <w:numFmt w:val="chineseCounting"/>
      <w:suff w:val="nothing"/>
      <w:lvlText w:val="%1、"/>
      <w:lvlJc w:val="left"/>
    </w:lvl>
  </w:abstractNum>
  <w:abstractNum w:abstractNumId="1662264502">
    <w:nsid w:val="631424B6"/>
    <w:multiLevelType w:val="singleLevel"/>
    <w:tmpl w:val="631424B6"/>
    <w:lvl w:ilvl="0" w:tentative="1">
      <w:start w:val="1"/>
      <w:numFmt w:val="decimal"/>
      <w:suff w:val="nothing"/>
      <w:lvlText w:val="%1."/>
      <w:lvlJc w:val="left"/>
    </w:lvl>
  </w:abstractNum>
  <w:abstractNum w:abstractNumId="309482763">
    <w:nsid w:val="1272550B"/>
    <w:multiLevelType w:val="multilevel"/>
    <w:tmpl w:val="1272550B"/>
    <w:lvl w:ilvl="0" w:tentative="1">
      <w:start w:val="1"/>
      <w:numFmt w:val="japaneseCounting"/>
      <w:lvlText w:val="%1、"/>
      <w:lvlJc w:val="left"/>
      <w:pPr>
        <w:ind w:left="1360" w:hanging="720"/>
      </w:pPr>
      <w:rPr>
        <w:rFonts w:hint="default"/>
        <w:b w:val="0"/>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808035965">
    <w:nsid w:val="E2FA047D"/>
    <w:multiLevelType w:val="singleLevel"/>
    <w:tmpl w:val="E2FA047D"/>
    <w:lvl w:ilvl="0" w:tentative="1">
      <w:start w:val="3"/>
      <w:numFmt w:val="chineseCounting"/>
      <w:suff w:val="space"/>
      <w:lvlText w:val="第%1部分"/>
      <w:lvlJc w:val="left"/>
      <w:rPr>
        <w:rFonts w:hint="eastAsia" w:ascii="黑体" w:hAnsi="黑体" w:eastAsia="黑体" w:cs="黑体"/>
        <w:sz w:val="44"/>
        <w:szCs w:val="44"/>
      </w:rPr>
    </w:lvl>
  </w:abstractNum>
  <w:abstractNum w:abstractNumId="3479514348">
    <w:nsid w:val="CF652CEC"/>
    <w:multiLevelType w:val="singleLevel"/>
    <w:tmpl w:val="CF652CEC"/>
    <w:lvl w:ilvl="0" w:tentative="1">
      <w:start w:val="9"/>
      <w:numFmt w:val="chineseCounting"/>
      <w:suff w:val="nothing"/>
      <w:lvlText w:val="%1、"/>
      <w:lvlJc w:val="left"/>
      <w:rPr>
        <w:rFonts w:hint="eastAsia"/>
      </w:rPr>
    </w:lvl>
  </w:abstractNum>
  <w:num w:numId="1">
    <w:abstractNumId w:val="1662261650"/>
  </w:num>
  <w:num w:numId="2">
    <w:abstractNumId w:val="309482763"/>
  </w:num>
  <w:num w:numId="3">
    <w:abstractNumId w:val="1662264502"/>
  </w:num>
  <w:num w:numId="4">
    <w:abstractNumId w:val="3479514348"/>
  </w:num>
  <w:num w:numId="5">
    <w:abstractNumId w:val="38080359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qFormat="1" w:uiPriority="99"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Cambria" w:hAnsi="Cambria" w:eastAsia="宋体" w:cs="黑体"/>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9"/>
    <w:semiHidden/>
    <w:unhideWhenUsed/>
    <w:qFormat/>
    <w:uiPriority w:val="99"/>
    <w:rPr>
      <w:sz w:val="18"/>
      <w:szCs w:val="18"/>
    </w:rPr>
  </w:style>
  <w:style w:type="paragraph" w:styleId="8">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uiPriority w:val="99"/>
    <w:pPr>
      <w:spacing w:before="100" w:beforeAutospacing="1" w:after="100" w:afterAutospacing="1"/>
      <w:ind w:left="0" w:right="0"/>
      <w:jc w:val="left"/>
    </w:pPr>
    <w:rPr>
      <w:kern w:val="0"/>
      <w:sz w:val="24"/>
      <w:lang w:val="en-US" w:eastAsia="zh-CN"/>
    </w:rPr>
  </w:style>
  <w:style w:type="character" w:styleId="14">
    <w:name w:val="Strong"/>
    <w:basedOn w:val="13"/>
    <w:qFormat/>
    <w:uiPriority w:val="99"/>
    <w:rPr>
      <w:b/>
    </w:rPr>
  </w:style>
  <w:style w:type="character" w:styleId="15">
    <w:name w:val="page number"/>
    <w:basedOn w:val="13"/>
    <w:semiHidden/>
    <w:unhideWhenUsed/>
    <w:uiPriority w:val="99"/>
    <w:rPr/>
  </w:style>
  <w:style w:type="character" w:styleId="16">
    <w:name w:val="Hyperlink"/>
    <w:basedOn w:val="13"/>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List Paragraph"/>
    <w:basedOn w:val="1"/>
    <w:qFormat/>
    <w:uiPriority w:val="34"/>
    <w:pPr>
      <w:ind w:firstLine="420" w:firstLineChars="200"/>
    </w:pPr>
  </w:style>
  <w:style w:type="paragraph" w:customStyle="1" w:styleId="19">
    <w:name w:val="TOC 标题1"/>
    <w:basedOn w:val="3"/>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20">
    <w:name w:val="TOC Heading"/>
    <w:basedOn w:val="3"/>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21">
    <w:name w:val="Header Char"/>
    <w:basedOn w:val="13"/>
    <w:semiHidden/>
    <w:qFormat/>
    <w:uiPriority w:val="99"/>
    <w:rPr>
      <w:rFonts w:ascii="Times New Roman" w:hAnsi="Times New Roman"/>
      <w:sz w:val="18"/>
      <w:szCs w:val="18"/>
    </w:rPr>
  </w:style>
  <w:style w:type="character" w:customStyle="1" w:styleId="22">
    <w:name w:val="页眉 Char"/>
    <w:link w:val="9"/>
    <w:semiHidden/>
    <w:qFormat/>
    <w:locked/>
    <w:uiPriority w:val="99"/>
    <w:rPr>
      <w:sz w:val="18"/>
    </w:rPr>
  </w:style>
  <w:style w:type="character" w:customStyle="1" w:styleId="23">
    <w:name w:val="Footer Char"/>
    <w:basedOn w:val="13"/>
    <w:semiHidden/>
    <w:qFormat/>
    <w:uiPriority w:val="99"/>
    <w:rPr>
      <w:rFonts w:ascii="Times New Roman" w:hAnsi="Times New Roman"/>
      <w:sz w:val="18"/>
      <w:szCs w:val="18"/>
    </w:rPr>
  </w:style>
  <w:style w:type="character" w:customStyle="1" w:styleId="24">
    <w:name w:val="页脚 Char"/>
    <w:link w:val="8"/>
    <w:qFormat/>
    <w:locked/>
    <w:uiPriority w:val="99"/>
    <w:rPr>
      <w:sz w:val="18"/>
    </w:rPr>
  </w:style>
  <w:style w:type="character" w:customStyle="1" w:styleId="25">
    <w:name w:val="Body Text Char"/>
    <w:basedOn w:val="13"/>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character" w:customStyle="1" w:styleId="27">
    <w:name w:val="标题 1 Char"/>
    <w:basedOn w:val="13"/>
    <w:link w:val="3"/>
    <w:qFormat/>
    <w:uiPriority w:val="9"/>
    <w:rPr>
      <w:rFonts w:ascii="Times New Roman" w:hAnsi="Times New Roman"/>
      <w:b/>
      <w:bCs/>
      <w:kern w:val="44"/>
      <w:sz w:val="44"/>
      <w:szCs w:val="44"/>
    </w:rPr>
  </w:style>
  <w:style w:type="character" w:customStyle="1" w:styleId="28">
    <w:name w:val="标题 2 Char"/>
    <w:basedOn w:val="13"/>
    <w:link w:val="4"/>
    <w:qFormat/>
    <w:uiPriority w:val="9"/>
    <w:rPr>
      <w:rFonts w:ascii="Cambria" w:hAnsi="Cambria" w:eastAsia="宋体" w:cs="黑体"/>
      <w:b/>
      <w:bCs/>
      <w:kern w:val="2"/>
      <w:sz w:val="32"/>
      <w:szCs w:val="32"/>
    </w:rPr>
  </w:style>
  <w:style w:type="character" w:customStyle="1" w:styleId="29">
    <w:name w:val="批注框文本 Char"/>
    <w:basedOn w:val="13"/>
    <w:link w:val="7"/>
    <w:semiHidden/>
    <w:qFormat/>
    <w:uiPriority w:val="99"/>
    <w:rPr>
      <w:rFonts w:ascii="Times New Roman" w:hAnsi="Times New Roman"/>
      <w:kern w:val="2"/>
      <w:sz w:val="18"/>
      <w:szCs w:val="18"/>
    </w:rPr>
  </w:style>
  <w:style w:type="character" w:customStyle="1" w:styleId="30">
    <w:name w:val="标题 3 Char"/>
    <w:basedOn w:val="13"/>
    <w:link w:val="5"/>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ScaleCrop>false</ScaleCrop>
  <LinksUpToDate>false</LinksUpToDate>
  <CharactersWithSpaces>0</CharactersWithSpaces>
  <Application>WPS Office 个人版_9.1.0.4693_{F1E327BC-269C-435d-A152-05C5408002CA}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2022-08-06T02:23:00Z</cp:lastPrinted>
  <dcterms:modified xsi:type="dcterms:W3CDTF">2022-09-04T04:57:26Z</dcterms:modified>
  <dc:title>四川省***</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2052-9.1.0.4693</vt:lpwstr>
  </property>
</Properties>
</file>